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C7BF" w14:textId="377D4C7E" w:rsidR="00662044" w:rsidRPr="00470248" w:rsidRDefault="00672C76" w:rsidP="004D4CB6">
      <w:pPr>
        <w:rPr>
          <w:szCs w:val="24"/>
        </w:rPr>
      </w:pPr>
      <w:r>
        <w:rPr>
          <w:szCs w:val="24"/>
        </w:rPr>
        <w:t>The Director</w:t>
      </w:r>
      <w:r w:rsidR="00662044" w:rsidRPr="00470248">
        <w:rPr>
          <w:szCs w:val="24"/>
        </w:rPr>
        <w:t>s of Pacific Capital UCITS Funds plc (the “</w:t>
      </w:r>
      <w:r w:rsidR="00662044" w:rsidRPr="00470248">
        <w:rPr>
          <w:b/>
          <w:szCs w:val="24"/>
        </w:rPr>
        <w:t>Company</w:t>
      </w:r>
      <w:r w:rsidR="00662044" w:rsidRPr="00470248">
        <w:rPr>
          <w:szCs w:val="24"/>
        </w:rPr>
        <w:t>”) whose names appear in the “</w:t>
      </w:r>
      <w:r w:rsidR="00662044" w:rsidRPr="00470248">
        <w:rPr>
          <w:b/>
          <w:szCs w:val="24"/>
        </w:rPr>
        <w:t>Directory</w:t>
      </w:r>
      <w:r w:rsidR="00662044" w:rsidRPr="00470248">
        <w:rPr>
          <w:szCs w:val="24"/>
        </w:rPr>
        <w:t xml:space="preserve">” of the Prospectus accept responsibility for the information contained in this Supplement.  To the best of the knowledge and belief of the Directors (who have taken all reasonable care to ensure that such is the case) the information contained in this Supplement and the Prospectus is in accordance with the facts and does not omit any material information likely to affect </w:t>
      </w:r>
      <w:r w:rsidR="00275AAE">
        <w:rPr>
          <w:szCs w:val="24"/>
        </w:rPr>
        <w:t>the import of such information.</w:t>
      </w:r>
    </w:p>
    <w:p w14:paraId="0DD7A1E9" w14:textId="1073ED83" w:rsidR="00662044" w:rsidRPr="00470248" w:rsidRDefault="00662044" w:rsidP="004D4CB6">
      <w:pPr>
        <w:rPr>
          <w:szCs w:val="24"/>
        </w:rPr>
      </w:pPr>
    </w:p>
    <w:p w14:paraId="246B31FA" w14:textId="62624B0C" w:rsidR="00662044" w:rsidRPr="00470248" w:rsidRDefault="007A174C" w:rsidP="004D4CB6">
      <w:pPr>
        <w:rPr>
          <w:szCs w:val="24"/>
        </w:rPr>
      </w:pPr>
      <w:r>
        <w:rPr>
          <w:szCs w:val="24"/>
        </w:rPr>
        <w:t xml:space="preserve"> </w:t>
      </w:r>
    </w:p>
    <w:p w14:paraId="3F68FE7D" w14:textId="23D226A6" w:rsidR="00662044" w:rsidRPr="00470248" w:rsidRDefault="00662044" w:rsidP="004D4CB6">
      <w:pPr>
        <w:rPr>
          <w:szCs w:val="24"/>
        </w:rPr>
      </w:pPr>
    </w:p>
    <w:p w14:paraId="39F7E3DE" w14:textId="77777777" w:rsidR="00662044" w:rsidRPr="00470248" w:rsidRDefault="00662044" w:rsidP="004D4CB6">
      <w:pPr>
        <w:pBdr>
          <w:top w:val="single" w:sz="6" w:space="0" w:color="auto"/>
        </w:pBdr>
        <w:rPr>
          <w:szCs w:val="24"/>
        </w:rPr>
      </w:pPr>
    </w:p>
    <w:p w14:paraId="75ED890C" w14:textId="77777777" w:rsidR="00662044" w:rsidRPr="00470248" w:rsidRDefault="00662044" w:rsidP="004D4CB6">
      <w:pPr>
        <w:rPr>
          <w:szCs w:val="24"/>
        </w:rPr>
      </w:pPr>
    </w:p>
    <w:p w14:paraId="34AF838D" w14:textId="21846E2A" w:rsidR="00662044" w:rsidRPr="00470248" w:rsidRDefault="006469BB" w:rsidP="004D4CB6">
      <w:pPr>
        <w:jc w:val="center"/>
        <w:rPr>
          <w:b/>
          <w:sz w:val="40"/>
          <w:szCs w:val="24"/>
        </w:rPr>
      </w:pPr>
      <w:r>
        <w:rPr>
          <w:b/>
          <w:sz w:val="40"/>
          <w:szCs w:val="24"/>
        </w:rPr>
        <w:t>PACIFIC</w:t>
      </w:r>
      <w:r w:rsidR="003A0655">
        <w:rPr>
          <w:b/>
          <w:sz w:val="40"/>
          <w:szCs w:val="24"/>
        </w:rPr>
        <w:t xml:space="preserve"> </w:t>
      </w:r>
      <w:r w:rsidR="003C45B6" w:rsidRPr="003C45B6">
        <w:rPr>
          <w:b/>
          <w:sz w:val="40"/>
          <w:szCs w:val="24"/>
        </w:rPr>
        <w:t xml:space="preserve">GLOBAL </w:t>
      </w:r>
      <w:r w:rsidR="00ED04FA">
        <w:rPr>
          <w:b/>
          <w:sz w:val="40"/>
          <w:szCs w:val="24"/>
        </w:rPr>
        <w:t>ALL</w:t>
      </w:r>
      <w:r w:rsidR="00ED04FA" w:rsidRPr="003C45B6">
        <w:rPr>
          <w:b/>
          <w:sz w:val="40"/>
          <w:szCs w:val="24"/>
        </w:rPr>
        <w:t xml:space="preserve"> </w:t>
      </w:r>
      <w:r w:rsidR="003C45B6" w:rsidRPr="003C45B6">
        <w:rPr>
          <w:b/>
          <w:sz w:val="40"/>
          <w:szCs w:val="24"/>
        </w:rPr>
        <w:t>CAP OPPORTUNITIES</w:t>
      </w:r>
      <w:r w:rsidR="003C45B6" w:rsidRPr="003C45B6" w:rsidDel="003C45B6">
        <w:rPr>
          <w:b/>
          <w:sz w:val="40"/>
          <w:szCs w:val="24"/>
        </w:rPr>
        <w:t xml:space="preserve"> </w:t>
      </w:r>
      <w:r w:rsidR="00B1213D">
        <w:rPr>
          <w:b/>
          <w:sz w:val="40"/>
          <w:szCs w:val="24"/>
        </w:rPr>
        <w:t>FUND</w:t>
      </w:r>
    </w:p>
    <w:p w14:paraId="4C568B2B" w14:textId="77777777" w:rsidR="00662044" w:rsidRPr="00470248" w:rsidRDefault="00662044" w:rsidP="004D4CB6">
      <w:pPr>
        <w:jc w:val="center"/>
        <w:rPr>
          <w:b/>
          <w:szCs w:val="24"/>
        </w:rPr>
      </w:pPr>
    </w:p>
    <w:p w14:paraId="2F25CD62" w14:textId="5F13DA13" w:rsidR="00662044" w:rsidRPr="00470248" w:rsidRDefault="00662044" w:rsidP="004D4CB6">
      <w:pPr>
        <w:jc w:val="center"/>
        <w:rPr>
          <w:b/>
          <w:szCs w:val="24"/>
        </w:rPr>
      </w:pPr>
      <w:r w:rsidRPr="00470248">
        <w:rPr>
          <w:b/>
          <w:szCs w:val="24"/>
        </w:rPr>
        <w:t>(A sub-fund of Pacific Capital UCITS Funds plc, an investment company with variable capital incorporated with limited liability in Ireland with registered number 553111, established as an umbrella fund with segregated liability between sub-funds and authorised by the Central Bank of Ireland pursuant to the European Communities (Undertakings for Collective Investment in Transferable Securities) Regulations 2011 (as amended))</w:t>
      </w:r>
    </w:p>
    <w:p w14:paraId="5844FD7F" w14:textId="77777777" w:rsidR="00662044" w:rsidRPr="00470248" w:rsidRDefault="00662044" w:rsidP="004D4CB6">
      <w:pPr>
        <w:jc w:val="center"/>
        <w:rPr>
          <w:szCs w:val="24"/>
        </w:rPr>
      </w:pPr>
    </w:p>
    <w:p w14:paraId="3B9F6AF2" w14:textId="3C70F3BB" w:rsidR="009D047F" w:rsidRDefault="009D047F" w:rsidP="004D4CB6">
      <w:pPr>
        <w:jc w:val="center"/>
        <w:rPr>
          <w:b/>
          <w:sz w:val="33"/>
          <w:szCs w:val="24"/>
        </w:rPr>
      </w:pPr>
    </w:p>
    <w:p w14:paraId="37A6CC23" w14:textId="77A759DB" w:rsidR="00187CEE" w:rsidRPr="00EC2858" w:rsidRDefault="00187CEE" w:rsidP="00187CEE">
      <w:pPr>
        <w:jc w:val="left"/>
        <w:rPr>
          <w:b/>
          <w:color w:val="C00000"/>
          <w:sz w:val="19"/>
          <w:szCs w:val="10"/>
        </w:rPr>
      </w:pPr>
    </w:p>
    <w:p w14:paraId="27C83F21" w14:textId="77777777" w:rsidR="00187CEE" w:rsidRPr="00EC2858" w:rsidRDefault="00187CEE" w:rsidP="00EC2858">
      <w:pPr>
        <w:jc w:val="left"/>
        <w:rPr>
          <w:b/>
          <w:color w:val="C00000"/>
          <w:sz w:val="25"/>
          <w:szCs w:val="16"/>
        </w:rPr>
      </w:pPr>
    </w:p>
    <w:p w14:paraId="5F13FC8C" w14:textId="0566D275" w:rsidR="009D047F" w:rsidRPr="0020029A" w:rsidRDefault="009D047F" w:rsidP="009D047F">
      <w:pPr>
        <w:jc w:val="center"/>
        <w:rPr>
          <w:b/>
          <w:sz w:val="32"/>
          <w:szCs w:val="24"/>
        </w:rPr>
      </w:pPr>
      <w:r w:rsidRPr="0020029A">
        <w:rPr>
          <w:b/>
          <w:sz w:val="32"/>
          <w:szCs w:val="24"/>
        </w:rPr>
        <w:t>MANAGEMENT COMPANY</w:t>
      </w:r>
    </w:p>
    <w:p w14:paraId="54431F81" w14:textId="7AD10E5D" w:rsidR="009D047F" w:rsidRPr="009D047F" w:rsidRDefault="0008627F" w:rsidP="009D047F">
      <w:pPr>
        <w:jc w:val="center"/>
        <w:rPr>
          <w:b/>
          <w:sz w:val="32"/>
          <w:szCs w:val="24"/>
        </w:rPr>
      </w:pPr>
      <w:r>
        <w:rPr>
          <w:b/>
          <w:sz w:val="32"/>
          <w:szCs w:val="24"/>
        </w:rPr>
        <w:t>WAYSTONE MANAGEMENT COMPANY (IE) LIMITED</w:t>
      </w:r>
    </w:p>
    <w:p w14:paraId="2FF897D0" w14:textId="77777777" w:rsidR="00662044" w:rsidRPr="00470248" w:rsidRDefault="00662044" w:rsidP="004D4CB6">
      <w:pPr>
        <w:jc w:val="center"/>
        <w:rPr>
          <w:b/>
          <w:sz w:val="32"/>
          <w:szCs w:val="24"/>
        </w:rPr>
      </w:pPr>
    </w:p>
    <w:p w14:paraId="6EE4E26C" w14:textId="77777777" w:rsidR="00662044" w:rsidRPr="00470248" w:rsidRDefault="00662044" w:rsidP="004D4CB6">
      <w:pPr>
        <w:jc w:val="center"/>
        <w:rPr>
          <w:b/>
          <w:sz w:val="32"/>
          <w:szCs w:val="24"/>
        </w:rPr>
      </w:pPr>
      <w:r w:rsidRPr="00470248">
        <w:rPr>
          <w:b/>
          <w:sz w:val="32"/>
          <w:szCs w:val="24"/>
        </w:rPr>
        <w:t>INVESTMENT MANAGER</w:t>
      </w:r>
    </w:p>
    <w:p w14:paraId="5DCF3D99" w14:textId="77777777" w:rsidR="00662044" w:rsidRDefault="00662044" w:rsidP="004D4CB6">
      <w:pPr>
        <w:jc w:val="center"/>
        <w:rPr>
          <w:b/>
          <w:sz w:val="32"/>
          <w:szCs w:val="24"/>
        </w:rPr>
      </w:pPr>
      <w:r w:rsidRPr="00470248">
        <w:rPr>
          <w:b/>
          <w:sz w:val="32"/>
          <w:szCs w:val="24"/>
        </w:rPr>
        <w:t>PACIFIC CAPITAL PARTNERS LIMITED</w:t>
      </w:r>
    </w:p>
    <w:p w14:paraId="727AF3DD" w14:textId="77777777" w:rsidR="00F94504" w:rsidRDefault="00F94504" w:rsidP="004D4CB6">
      <w:pPr>
        <w:jc w:val="center"/>
        <w:rPr>
          <w:b/>
          <w:sz w:val="32"/>
          <w:szCs w:val="24"/>
        </w:rPr>
      </w:pPr>
    </w:p>
    <w:p w14:paraId="6F22B71C" w14:textId="77777777" w:rsidR="00F94504" w:rsidRDefault="00F94504" w:rsidP="004D4CB6">
      <w:pPr>
        <w:jc w:val="center"/>
        <w:rPr>
          <w:b/>
          <w:sz w:val="32"/>
          <w:szCs w:val="24"/>
        </w:rPr>
      </w:pPr>
    </w:p>
    <w:p w14:paraId="21D79DB7" w14:textId="77777777" w:rsidR="00F94504" w:rsidRDefault="00F94504" w:rsidP="004D4CB6">
      <w:pPr>
        <w:jc w:val="center"/>
        <w:rPr>
          <w:b/>
          <w:sz w:val="32"/>
          <w:szCs w:val="24"/>
        </w:rPr>
      </w:pPr>
    </w:p>
    <w:p w14:paraId="67CA48B9" w14:textId="77777777" w:rsidR="00F94504" w:rsidRPr="00470248" w:rsidRDefault="00F94504" w:rsidP="004D4CB6">
      <w:pPr>
        <w:jc w:val="center"/>
        <w:rPr>
          <w:b/>
          <w:sz w:val="32"/>
          <w:szCs w:val="24"/>
        </w:rPr>
      </w:pPr>
    </w:p>
    <w:p w14:paraId="5654D9D7" w14:textId="1AFD0191" w:rsidR="00662044" w:rsidRPr="00470248" w:rsidRDefault="00655B75" w:rsidP="004D4CB6">
      <w:pPr>
        <w:jc w:val="center"/>
        <w:rPr>
          <w:b/>
          <w:sz w:val="32"/>
          <w:szCs w:val="24"/>
        </w:rPr>
      </w:pPr>
      <w:r>
        <w:rPr>
          <w:b/>
          <w:sz w:val="32"/>
          <w:szCs w:val="24"/>
        </w:rPr>
        <w:t xml:space="preserve">DATED </w:t>
      </w:r>
      <w:r w:rsidR="005448FC">
        <w:rPr>
          <w:b/>
          <w:sz w:val="32"/>
          <w:szCs w:val="24"/>
        </w:rPr>
        <w:t>[</w:t>
      </w:r>
      <w:r w:rsidR="005448FC">
        <w:rPr>
          <w:rFonts w:cs="Arial"/>
          <w:b/>
          <w:sz w:val="32"/>
          <w:szCs w:val="24"/>
        </w:rPr>
        <w:t>●</w:t>
      </w:r>
      <w:r w:rsidR="005448FC">
        <w:rPr>
          <w:b/>
          <w:sz w:val="32"/>
          <w:szCs w:val="24"/>
        </w:rPr>
        <w:t>]</w:t>
      </w:r>
      <w:r w:rsidR="006446A7">
        <w:rPr>
          <w:b/>
          <w:sz w:val="32"/>
          <w:szCs w:val="24"/>
        </w:rPr>
        <w:t xml:space="preserve"> </w:t>
      </w:r>
      <w:r w:rsidR="00AF4D2E">
        <w:rPr>
          <w:b/>
          <w:sz w:val="32"/>
          <w:szCs w:val="24"/>
        </w:rPr>
        <w:t>202</w:t>
      </w:r>
      <w:r w:rsidR="00E53779">
        <w:rPr>
          <w:b/>
          <w:sz w:val="32"/>
          <w:szCs w:val="24"/>
        </w:rPr>
        <w:t>5</w:t>
      </w:r>
    </w:p>
    <w:p w14:paraId="1035F7E2" w14:textId="77777777" w:rsidR="00662044" w:rsidRPr="00470248" w:rsidRDefault="00662044" w:rsidP="001B47EA">
      <w:pPr>
        <w:pBdr>
          <w:bottom w:val="single" w:sz="6" w:space="0" w:color="auto"/>
        </w:pBdr>
        <w:rPr>
          <w:szCs w:val="24"/>
        </w:rPr>
      </w:pPr>
    </w:p>
    <w:p w14:paraId="0173465D" w14:textId="77777777" w:rsidR="00662044" w:rsidRPr="00470248" w:rsidRDefault="00662044" w:rsidP="001B47EA">
      <w:pPr>
        <w:rPr>
          <w:szCs w:val="24"/>
        </w:rPr>
      </w:pPr>
    </w:p>
    <w:p w14:paraId="3E5F062C" w14:textId="4EEC0A94" w:rsidR="00662044" w:rsidRPr="00470248" w:rsidRDefault="00662044" w:rsidP="0098344C">
      <w:pPr>
        <w:rPr>
          <w:b/>
          <w:szCs w:val="24"/>
        </w:rPr>
      </w:pPr>
      <w:r w:rsidRPr="00470248">
        <w:rPr>
          <w:b/>
          <w:szCs w:val="24"/>
        </w:rPr>
        <w:t xml:space="preserve">This Supplement </w:t>
      </w:r>
      <w:r w:rsidRPr="003B029B">
        <w:rPr>
          <w:b/>
          <w:szCs w:val="24"/>
        </w:rPr>
        <w:t>dated</w:t>
      </w:r>
      <w:r w:rsidR="00422134">
        <w:rPr>
          <w:b/>
          <w:szCs w:val="24"/>
        </w:rPr>
        <w:t xml:space="preserve"> </w:t>
      </w:r>
      <w:r w:rsidR="005448FC">
        <w:rPr>
          <w:b/>
          <w:szCs w:val="24"/>
        </w:rPr>
        <w:t>[</w:t>
      </w:r>
      <w:r w:rsidR="005448FC">
        <w:rPr>
          <w:rFonts w:cs="Arial"/>
          <w:b/>
          <w:szCs w:val="24"/>
        </w:rPr>
        <w:t>●</w:t>
      </w:r>
      <w:r w:rsidR="005448FC">
        <w:rPr>
          <w:b/>
          <w:szCs w:val="24"/>
        </w:rPr>
        <w:t>]</w:t>
      </w:r>
      <w:r w:rsidR="00B738E9">
        <w:rPr>
          <w:b/>
          <w:szCs w:val="24"/>
        </w:rPr>
        <w:t xml:space="preserve"> </w:t>
      </w:r>
      <w:r w:rsidR="00AF4D2E">
        <w:rPr>
          <w:b/>
          <w:szCs w:val="24"/>
        </w:rPr>
        <w:t>202</w:t>
      </w:r>
      <w:r w:rsidR="00E53779">
        <w:rPr>
          <w:b/>
          <w:szCs w:val="24"/>
        </w:rPr>
        <w:t>5</w:t>
      </w:r>
      <w:r w:rsidR="001F476B">
        <w:rPr>
          <w:rFonts w:cs="Arial"/>
          <w:b/>
          <w:szCs w:val="24"/>
        </w:rPr>
        <w:t xml:space="preserve"> </w:t>
      </w:r>
      <w:r w:rsidRPr="00470248">
        <w:rPr>
          <w:b/>
          <w:szCs w:val="24"/>
        </w:rPr>
        <w:t>forms part of, and should be read in the context of an</w:t>
      </w:r>
      <w:r w:rsidR="00FC44F1">
        <w:rPr>
          <w:b/>
          <w:szCs w:val="24"/>
        </w:rPr>
        <w:t xml:space="preserve">d together with, the Prospectus </w:t>
      </w:r>
      <w:r w:rsidRPr="003B029B">
        <w:rPr>
          <w:b/>
          <w:szCs w:val="24"/>
        </w:rPr>
        <w:t xml:space="preserve">dated </w:t>
      </w:r>
      <w:r w:rsidR="00AF4D2E">
        <w:rPr>
          <w:rFonts w:cs="Arial"/>
          <w:b/>
          <w:szCs w:val="24"/>
        </w:rPr>
        <w:t>31 May 2024</w:t>
      </w:r>
      <w:r w:rsidR="00D672EC">
        <w:rPr>
          <w:rFonts w:cs="Arial"/>
          <w:b/>
          <w:szCs w:val="24"/>
        </w:rPr>
        <w:t xml:space="preserve"> </w:t>
      </w:r>
      <w:r w:rsidRPr="00470248">
        <w:rPr>
          <w:b/>
          <w:szCs w:val="24"/>
        </w:rPr>
        <w:t xml:space="preserve">as may be amended from time to time (the “Prospectus”) in relation to the Company and contains information relating to the </w:t>
      </w:r>
      <w:r w:rsidR="006469BB">
        <w:rPr>
          <w:b/>
          <w:szCs w:val="24"/>
        </w:rPr>
        <w:t xml:space="preserve">Pacific </w:t>
      </w:r>
      <w:r w:rsidR="003E19DA" w:rsidRPr="003E19DA">
        <w:rPr>
          <w:b/>
          <w:szCs w:val="24"/>
        </w:rPr>
        <w:t>G</w:t>
      </w:r>
      <w:r w:rsidR="003E19DA">
        <w:rPr>
          <w:b/>
          <w:szCs w:val="24"/>
        </w:rPr>
        <w:t>lobal</w:t>
      </w:r>
      <w:r w:rsidR="003E19DA" w:rsidRPr="003E19DA">
        <w:rPr>
          <w:b/>
          <w:szCs w:val="24"/>
        </w:rPr>
        <w:t xml:space="preserve"> </w:t>
      </w:r>
      <w:r w:rsidR="00ED04FA">
        <w:rPr>
          <w:b/>
          <w:szCs w:val="24"/>
        </w:rPr>
        <w:t>All</w:t>
      </w:r>
      <w:r w:rsidR="00ED04FA" w:rsidRPr="003E19DA">
        <w:rPr>
          <w:b/>
          <w:szCs w:val="24"/>
        </w:rPr>
        <w:t xml:space="preserve"> </w:t>
      </w:r>
      <w:r w:rsidR="003E19DA" w:rsidRPr="003E19DA">
        <w:rPr>
          <w:b/>
          <w:szCs w:val="24"/>
        </w:rPr>
        <w:t>C</w:t>
      </w:r>
      <w:r w:rsidR="00A35C72">
        <w:rPr>
          <w:b/>
          <w:szCs w:val="24"/>
        </w:rPr>
        <w:t>ap</w:t>
      </w:r>
      <w:r w:rsidR="003E19DA" w:rsidRPr="003E19DA">
        <w:rPr>
          <w:b/>
          <w:szCs w:val="24"/>
        </w:rPr>
        <w:t xml:space="preserve"> O</w:t>
      </w:r>
      <w:r w:rsidR="00A35C72">
        <w:rPr>
          <w:b/>
          <w:szCs w:val="24"/>
        </w:rPr>
        <w:t>pportunities</w:t>
      </w:r>
      <w:r w:rsidR="003E19DA" w:rsidRPr="003E19DA" w:rsidDel="003E19DA">
        <w:rPr>
          <w:b/>
          <w:szCs w:val="24"/>
        </w:rPr>
        <w:t xml:space="preserve"> </w:t>
      </w:r>
      <w:r w:rsidR="00B1213D">
        <w:rPr>
          <w:b/>
          <w:szCs w:val="24"/>
        </w:rPr>
        <w:t>Fund</w:t>
      </w:r>
      <w:r w:rsidR="009B59C5" w:rsidRPr="00470248">
        <w:rPr>
          <w:b/>
          <w:szCs w:val="24"/>
        </w:rPr>
        <w:t xml:space="preserve"> </w:t>
      </w:r>
      <w:r w:rsidRPr="00470248">
        <w:rPr>
          <w:b/>
          <w:szCs w:val="24"/>
        </w:rPr>
        <w:t>which is a sub-fund of the Company.</w:t>
      </w:r>
    </w:p>
    <w:p w14:paraId="5E7C9C27" w14:textId="3DA4A2B8" w:rsidR="00662044" w:rsidRDefault="00662044" w:rsidP="0098344C">
      <w:pPr>
        <w:rPr>
          <w:b/>
          <w:szCs w:val="24"/>
        </w:rPr>
      </w:pPr>
    </w:p>
    <w:p w14:paraId="70033CDD" w14:textId="1881650F" w:rsidR="000601AF" w:rsidRDefault="000601AF" w:rsidP="0098344C">
      <w:pPr>
        <w:rPr>
          <w:b/>
          <w:szCs w:val="24"/>
        </w:rPr>
      </w:pPr>
    </w:p>
    <w:p w14:paraId="370EBB9A" w14:textId="77777777" w:rsidR="00494682" w:rsidRDefault="00494682" w:rsidP="0098344C">
      <w:pPr>
        <w:rPr>
          <w:b/>
          <w:szCs w:val="24"/>
        </w:rPr>
      </w:pPr>
    </w:p>
    <w:p w14:paraId="5ECA1E2B" w14:textId="77777777" w:rsidR="002278F9" w:rsidRPr="00470248" w:rsidRDefault="002278F9" w:rsidP="0098344C">
      <w:pPr>
        <w:rPr>
          <w:b/>
          <w:szCs w:val="24"/>
        </w:rPr>
      </w:pPr>
    </w:p>
    <w:p w14:paraId="6D7F651F" w14:textId="77777777" w:rsidR="00662044" w:rsidRPr="00470248" w:rsidRDefault="00662044" w:rsidP="0098344C">
      <w:pPr>
        <w:jc w:val="left"/>
        <w:rPr>
          <w:szCs w:val="24"/>
        </w:rPr>
      </w:pPr>
    </w:p>
    <w:p w14:paraId="4B57581D" w14:textId="6FA324B4" w:rsidR="00662044" w:rsidRPr="00470248" w:rsidRDefault="00662044" w:rsidP="0098344C">
      <w:pPr>
        <w:jc w:val="left"/>
        <w:rPr>
          <w:szCs w:val="24"/>
        </w:rPr>
        <w:sectPr w:rsidR="00662044" w:rsidRPr="0047024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8" w:h="16833"/>
          <w:pgMar w:top="1417" w:right="1417" w:bottom="1417" w:left="1417" w:header="708" w:footer="708" w:gutter="0"/>
          <w:pgNumType w:start="1"/>
          <w:cols w:space="720"/>
          <w:noEndnote/>
          <w:titlePg/>
        </w:sectPr>
      </w:pPr>
    </w:p>
    <w:p w14:paraId="70DC2221" w14:textId="77777777" w:rsidR="00662044" w:rsidRPr="00470248" w:rsidRDefault="00662044" w:rsidP="0098344C">
      <w:pPr>
        <w:rPr>
          <w:szCs w:val="24"/>
        </w:rPr>
      </w:pPr>
      <w:bookmarkStart w:id="0" w:name="_DV_M10"/>
      <w:bookmarkEnd w:id="0"/>
    </w:p>
    <w:p w14:paraId="43FB3706" w14:textId="219B59FA" w:rsidR="00662044" w:rsidRDefault="005070CF" w:rsidP="0098344C">
      <w:pPr>
        <w:pStyle w:val="NoSpacing"/>
        <w:jc w:val="center"/>
        <w:rPr>
          <w:b/>
        </w:rPr>
      </w:pPr>
      <w:r>
        <w:rPr>
          <w:b/>
        </w:rPr>
        <w:t>CONTENTS</w:t>
      </w:r>
    </w:p>
    <w:p w14:paraId="5FD79181" w14:textId="641220A1" w:rsidR="005070CF" w:rsidRDefault="005070CF" w:rsidP="0098344C">
      <w:pPr>
        <w:pStyle w:val="NoSpacing"/>
        <w:jc w:val="center"/>
        <w:rPr>
          <w:rFonts w:ascii="Calibri" w:hAnsi="Calibri"/>
          <w:b/>
          <w:noProof/>
          <w:sz w:val="22"/>
          <w:szCs w:val="22"/>
          <w:lang w:val="en-GB" w:eastAsia="en-GB"/>
        </w:rPr>
      </w:pPr>
    </w:p>
    <w:p w14:paraId="267A9C34" w14:textId="51470D6E" w:rsidR="005070CF" w:rsidRDefault="005070CF" w:rsidP="0098344C">
      <w:pPr>
        <w:pStyle w:val="NoSpacing"/>
        <w:jc w:val="center"/>
        <w:rPr>
          <w:rFonts w:ascii="Calibri" w:hAnsi="Calibri"/>
          <w:b/>
          <w:noProof/>
          <w:sz w:val="22"/>
          <w:szCs w:val="22"/>
          <w:lang w:val="en-GB" w:eastAsia="en-GB"/>
        </w:rPr>
      </w:pPr>
    </w:p>
    <w:p w14:paraId="2DDB1E50" w14:textId="1DE253B0" w:rsidR="005070CF" w:rsidRDefault="005070CF" w:rsidP="0098344C">
      <w:pPr>
        <w:pStyle w:val="NoSpacing"/>
        <w:jc w:val="right"/>
        <w:rPr>
          <w:rFonts w:ascii="Calibri" w:hAnsi="Calibri"/>
          <w:noProof/>
          <w:sz w:val="22"/>
          <w:szCs w:val="22"/>
          <w:lang w:val="en-GB" w:eastAsia="en-GB"/>
        </w:rPr>
      </w:pPr>
      <w:r>
        <w:rPr>
          <w:rFonts w:ascii="Calibri" w:hAnsi="Calibri"/>
          <w:b/>
          <w:noProof/>
          <w:sz w:val="22"/>
          <w:szCs w:val="22"/>
          <w:lang w:val="en-GB" w:eastAsia="en-GB"/>
        </w:rPr>
        <w:t>Page No</w:t>
      </w:r>
    </w:p>
    <w:p w14:paraId="0EB13A0B" w14:textId="5261929B" w:rsidR="005070CF" w:rsidRDefault="005070CF" w:rsidP="0098344C">
      <w:pPr>
        <w:pStyle w:val="NoSpacing"/>
        <w:jc w:val="right"/>
        <w:rPr>
          <w:rFonts w:ascii="Calibri" w:hAnsi="Calibri"/>
          <w:noProof/>
          <w:sz w:val="22"/>
          <w:szCs w:val="22"/>
          <w:lang w:val="en-GB" w:eastAsia="en-GB"/>
        </w:rPr>
      </w:pPr>
    </w:p>
    <w:p w14:paraId="01E7F1C3" w14:textId="39AF731B" w:rsidR="002A2440" w:rsidRDefault="005070CF">
      <w:pPr>
        <w:pStyle w:val="TOC1"/>
        <w:rPr>
          <w:rFonts w:asciiTheme="minorHAnsi" w:eastAsiaTheme="minorEastAsia" w:hAnsiTheme="minorHAnsi" w:cstheme="minorBidi"/>
          <w:noProof/>
          <w:color w:val="auto"/>
          <w:kern w:val="2"/>
          <w:sz w:val="24"/>
          <w:szCs w:val="24"/>
          <w:lang w:val="en-GB" w:eastAsia="en-GB"/>
          <w14:ligatures w14:val="standardContextual"/>
        </w:rPr>
      </w:pPr>
      <w:r>
        <w:rPr>
          <w:rFonts w:ascii="Calibri" w:hAnsi="Calibri"/>
          <w:noProof/>
          <w:sz w:val="22"/>
          <w:szCs w:val="22"/>
          <w:lang w:val="en-GB" w:eastAsia="en-GB"/>
        </w:rPr>
        <w:fldChar w:fldCharType="begin"/>
      </w:r>
      <w:r>
        <w:rPr>
          <w:rFonts w:ascii="Calibri" w:hAnsi="Calibri"/>
          <w:noProof/>
          <w:sz w:val="22"/>
          <w:szCs w:val="22"/>
          <w:lang w:val="en-GB" w:eastAsia="en-GB"/>
        </w:rPr>
        <w:instrText xml:space="preserve"> TOC \o "1-3" \t "PROSPECTUS - LEVEL 1,1,SCH - MAIN HEAD,1,SCH - SUB HEAD,2,SCHEDULE HEADING - LEVEL 1,1,Schedule Heading - Level 2,2,PROSPECTUS SUMMARY - LEVEL 1,1" </w:instrText>
      </w:r>
      <w:r>
        <w:rPr>
          <w:rFonts w:ascii="Calibri" w:hAnsi="Calibri"/>
          <w:noProof/>
          <w:sz w:val="22"/>
          <w:szCs w:val="22"/>
          <w:lang w:val="en-GB" w:eastAsia="en-GB"/>
        </w:rPr>
        <w:fldChar w:fldCharType="separate"/>
      </w:r>
      <w:r w:rsidR="002A2440" w:rsidRPr="00800C44">
        <w:rPr>
          <w:bCs/>
          <w:noProof/>
        </w:rPr>
        <w:t>Definitions</w:t>
      </w:r>
      <w:r w:rsidR="002A2440">
        <w:rPr>
          <w:noProof/>
        </w:rPr>
        <w:tab/>
      </w:r>
      <w:r w:rsidR="002A2440">
        <w:rPr>
          <w:noProof/>
        </w:rPr>
        <w:fldChar w:fldCharType="begin"/>
      </w:r>
      <w:r w:rsidR="002A2440">
        <w:rPr>
          <w:noProof/>
        </w:rPr>
        <w:instrText xml:space="preserve"> PAGEREF _Toc184725732 \h </w:instrText>
      </w:r>
      <w:r w:rsidR="002A2440">
        <w:rPr>
          <w:noProof/>
        </w:rPr>
      </w:r>
      <w:r w:rsidR="002A2440">
        <w:rPr>
          <w:noProof/>
        </w:rPr>
        <w:fldChar w:fldCharType="separate"/>
      </w:r>
      <w:r w:rsidR="002A2440">
        <w:rPr>
          <w:noProof/>
        </w:rPr>
        <w:t>2</w:t>
      </w:r>
      <w:r w:rsidR="002A2440">
        <w:rPr>
          <w:noProof/>
        </w:rPr>
        <w:fldChar w:fldCharType="end"/>
      </w:r>
    </w:p>
    <w:p w14:paraId="3A3285C1" w14:textId="3383407E" w:rsidR="002A2440" w:rsidRDefault="002A2440">
      <w:pPr>
        <w:pStyle w:val="TOC1"/>
        <w:rPr>
          <w:rFonts w:asciiTheme="minorHAnsi" w:eastAsiaTheme="minorEastAsia" w:hAnsiTheme="minorHAnsi" w:cstheme="minorBidi"/>
          <w:noProof/>
          <w:color w:val="auto"/>
          <w:kern w:val="2"/>
          <w:sz w:val="24"/>
          <w:szCs w:val="24"/>
          <w:lang w:val="en-GB" w:eastAsia="en-GB"/>
          <w14:ligatures w14:val="standardContextual"/>
        </w:rPr>
      </w:pPr>
      <w:r w:rsidRPr="00800C44">
        <w:rPr>
          <w:bCs/>
          <w:noProof/>
        </w:rPr>
        <w:t>The Fund</w:t>
      </w:r>
      <w:r>
        <w:rPr>
          <w:noProof/>
        </w:rPr>
        <w:tab/>
      </w:r>
      <w:r>
        <w:rPr>
          <w:noProof/>
        </w:rPr>
        <w:fldChar w:fldCharType="begin"/>
      </w:r>
      <w:r>
        <w:rPr>
          <w:noProof/>
        </w:rPr>
        <w:instrText xml:space="preserve"> PAGEREF _Toc184725733 \h </w:instrText>
      </w:r>
      <w:r>
        <w:rPr>
          <w:noProof/>
        </w:rPr>
      </w:r>
      <w:r>
        <w:rPr>
          <w:noProof/>
        </w:rPr>
        <w:fldChar w:fldCharType="separate"/>
      </w:r>
      <w:r>
        <w:rPr>
          <w:noProof/>
        </w:rPr>
        <w:t>3</w:t>
      </w:r>
      <w:r>
        <w:rPr>
          <w:noProof/>
        </w:rPr>
        <w:fldChar w:fldCharType="end"/>
      </w:r>
    </w:p>
    <w:p w14:paraId="3F4214A2" w14:textId="0410DB7F" w:rsidR="002A2440" w:rsidRDefault="002A2440">
      <w:pPr>
        <w:pStyle w:val="TOC1"/>
        <w:rPr>
          <w:rFonts w:asciiTheme="minorHAnsi" w:eastAsiaTheme="minorEastAsia" w:hAnsiTheme="minorHAnsi" w:cstheme="minorBidi"/>
          <w:noProof/>
          <w:color w:val="auto"/>
          <w:kern w:val="2"/>
          <w:sz w:val="24"/>
          <w:szCs w:val="24"/>
          <w:lang w:val="en-GB" w:eastAsia="en-GB"/>
          <w14:ligatures w14:val="standardContextual"/>
        </w:rPr>
      </w:pPr>
      <w:r w:rsidRPr="00800C44">
        <w:rPr>
          <w:bCs/>
          <w:noProof/>
        </w:rPr>
        <w:t>Investment Objective and Policies</w:t>
      </w:r>
      <w:r>
        <w:rPr>
          <w:noProof/>
        </w:rPr>
        <w:tab/>
      </w:r>
      <w:r>
        <w:rPr>
          <w:noProof/>
        </w:rPr>
        <w:fldChar w:fldCharType="begin"/>
      </w:r>
      <w:r>
        <w:rPr>
          <w:noProof/>
        </w:rPr>
        <w:instrText xml:space="preserve"> PAGEREF _Toc184725734 \h </w:instrText>
      </w:r>
      <w:r>
        <w:rPr>
          <w:noProof/>
        </w:rPr>
      </w:r>
      <w:r>
        <w:rPr>
          <w:noProof/>
        </w:rPr>
        <w:fldChar w:fldCharType="separate"/>
      </w:r>
      <w:r>
        <w:rPr>
          <w:noProof/>
        </w:rPr>
        <w:t>15</w:t>
      </w:r>
      <w:r>
        <w:rPr>
          <w:noProof/>
        </w:rPr>
        <w:fldChar w:fldCharType="end"/>
      </w:r>
    </w:p>
    <w:p w14:paraId="651E5B53" w14:textId="53357AE3" w:rsidR="002A2440" w:rsidRDefault="002A2440">
      <w:pPr>
        <w:pStyle w:val="TOC1"/>
        <w:rPr>
          <w:rFonts w:asciiTheme="minorHAnsi" w:eastAsiaTheme="minorEastAsia" w:hAnsiTheme="minorHAnsi" w:cstheme="minorBidi"/>
          <w:noProof/>
          <w:color w:val="auto"/>
          <w:kern w:val="2"/>
          <w:sz w:val="24"/>
          <w:szCs w:val="24"/>
          <w:lang w:val="en-GB" w:eastAsia="en-GB"/>
          <w14:ligatures w14:val="standardContextual"/>
        </w:rPr>
      </w:pPr>
      <w:r w:rsidRPr="00800C44">
        <w:rPr>
          <w:bCs/>
          <w:noProof/>
        </w:rPr>
        <w:t>Risk Considerations</w:t>
      </w:r>
      <w:r>
        <w:rPr>
          <w:noProof/>
        </w:rPr>
        <w:tab/>
      </w:r>
      <w:r>
        <w:rPr>
          <w:noProof/>
        </w:rPr>
        <w:fldChar w:fldCharType="begin"/>
      </w:r>
      <w:r>
        <w:rPr>
          <w:noProof/>
        </w:rPr>
        <w:instrText xml:space="preserve"> PAGEREF _Toc184725735 \h </w:instrText>
      </w:r>
      <w:r>
        <w:rPr>
          <w:noProof/>
        </w:rPr>
      </w:r>
      <w:r>
        <w:rPr>
          <w:noProof/>
        </w:rPr>
        <w:fldChar w:fldCharType="separate"/>
      </w:r>
      <w:r>
        <w:rPr>
          <w:noProof/>
        </w:rPr>
        <w:t>24</w:t>
      </w:r>
      <w:r>
        <w:rPr>
          <w:noProof/>
        </w:rPr>
        <w:fldChar w:fldCharType="end"/>
      </w:r>
    </w:p>
    <w:p w14:paraId="58A25C23" w14:textId="4E49B1D3" w:rsidR="002A2440" w:rsidRDefault="002A2440">
      <w:pPr>
        <w:pStyle w:val="TOC1"/>
        <w:rPr>
          <w:rFonts w:asciiTheme="minorHAnsi" w:eastAsiaTheme="minorEastAsia" w:hAnsiTheme="minorHAnsi" w:cstheme="minorBidi"/>
          <w:noProof/>
          <w:color w:val="auto"/>
          <w:kern w:val="2"/>
          <w:sz w:val="24"/>
          <w:szCs w:val="24"/>
          <w:lang w:val="en-GB" w:eastAsia="en-GB"/>
          <w14:ligatures w14:val="standardContextual"/>
        </w:rPr>
      </w:pPr>
      <w:r w:rsidRPr="00800C44">
        <w:rPr>
          <w:bCs/>
          <w:noProof/>
        </w:rPr>
        <w:t>Investor Profile</w:t>
      </w:r>
      <w:r>
        <w:rPr>
          <w:noProof/>
        </w:rPr>
        <w:tab/>
      </w:r>
      <w:r>
        <w:rPr>
          <w:noProof/>
        </w:rPr>
        <w:fldChar w:fldCharType="begin"/>
      </w:r>
      <w:r>
        <w:rPr>
          <w:noProof/>
        </w:rPr>
        <w:instrText xml:space="preserve"> PAGEREF _Toc184725736 \h </w:instrText>
      </w:r>
      <w:r>
        <w:rPr>
          <w:noProof/>
        </w:rPr>
      </w:r>
      <w:r>
        <w:rPr>
          <w:noProof/>
        </w:rPr>
        <w:fldChar w:fldCharType="separate"/>
      </w:r>
      <w:r>
        <w:rPr>
          <w:noProof/>
        </w:rPr>
        <w:t>25</w:t>
      </w:r>
      <w:r>
        <w:rPr>
          <w:noProof/>
        </w:rPr>
        <w:fldChar w:fldCharType="end"/>
      </w:r>
    </w:p>
    <w:p w14:paraId="67B59483" w14:textId="72E2E646" w:rsidR="002A2440" w:rsidRDefault="002A2440">
      <w:pPr>
        <w:pStyle w:val="TOC1"/>
        <w:rPr>
          <w:rFonts w:asciiTheme="minorHAnsi" w:eastAsiaTheme="minorEastAsia" w:hAnsiTheme="minorHAnsi" w:cstheme="minorBidi"/>
          <w:noProof/>
          <w:color w:val="auto"/>
          <w:kern w:val="2"/>
          <w:sz w:val="24"/>
          <w:szCs w:val="24"/>
          <w:lang w:val="en-GB" w:eastAsia="en-GB"/>
          <w14:ligatures w14:val="standardContextual"/>
        </w:rPr>
      </w:pPr>
      <w:r w:rsidRPr="00800C44">
        <w:rPr>
          <w:bCs/>
          <w:noProof/>
        </w:rPr>
        <w:t>Dividend Policy</w:t>
      </w:r>
      <w:r>
        <w:rPr>
          <w:noProof/>
        </w:rPr>
        <w:tab/>
      </w:r>
      <w:r>
        <w:rPr>
          <w:noProof/>
        </w:rPr>
        <w:fldChar w:fldCharType="begin"/>
      </w:r>
      <w:r>
        <w:rPr>
          <w:noProof/>
        </w:rPr>
        <w:instrText xml:space="preserve"> PAGEREF _Toc184725737 \h </w:instrText>
      </w:r>
      <w:r>
        <w:rPr>
          <w:noProof/>
        </w:rPr>
      </w:r>
      <w:r>
        <w:rPr>
          <w:noProof/>
        </w:rPr>
        <w:fldChar w:fldCharType="separate"/>
      </w:r>
      <w:r>
        <w:rPr>
          <w:noProof/>
        </w:rPr>
        <w:t>26</w:t>
      </w:r>
      <w:r>
        <w:rPr>
          <w:noProof/>
        </w:rPr>
        <w:fldChar w:fldCharType="end"/>
      </w:r>
    </w:p>
    <w:p w14:paraId="3C0F51B6" w14:textId="1AD87519" w:rsidR="002A2440" w:rsidRDefault="002A2440">
      <w:pPr>
        <w:pStyle w:val="TOC1"/>
        <w:rPr>
          <w:rFonts w:asciiTheme="minorHAnsi" w:eastAsiaTheme="minorEastAsia" w:hAnsiTheme="minorHAnsi" w:cstheme="minorBidi"/>
          <w:noProof/>
          <w:color w:val="auto"/>
          <w:kern w:val="2"/>
          <w:sz w:val="24"/>
          <w:szCs w:val="24"/>
          <w:lang w:val="en-GB" w:eastAsia="en-GB"/>
          <w14:ligatures w14:val="standardContextual"/>
        </w:rPr>
      </w:pPr>
      <w:r w:rsidRPr="00800C44">
        <w:rPr>
          <w:bCs/>
          <w:noProof/>
        </w:rPr>
        <w:t>Fees and Expenses</w:t>
      </w:r>
      <w:r>
        <w:rPr>
          <w:noProof/>
        </w:rPr>
        <w:tab/>
      </w:r>
      <w:r>
        <w:rPr>
          <w:noProof/>
        </w:rPr>
        <w:fldChar w:fldCharType="begin"/>
      </w:r>
      <w:r>
        <w:rPr>
          <w:noProof/>
        </w:rPr>
        <w:instrText xml:space="preserve"> PAGEREF _Toc184725738 \h </w:instrText>
      </w:r>
      <w:r>
        <w:rPr>
          <w:noProof/>
        </w:rPr>
      </w:r>
      <w:r>
        <w:rPr>
          <w:noProof/>
        </w:rPr>
        <w:fldChar w:fldCharType="separate"/>
      </w:r>
      <w:r>
        <w:rPr>
          <w:noProof/>
        </w:rPr>
        <w:t>27</w:t>
      </w:r>
      <w:r>
        <w:rPr>
          <w:noProof/>
        </w:rPr>
        <w:fldChar w:fldCharType="end"/>
      </w:r>
    </w:p>
    <w:p w14:paraId="32BE9114" w14:textId="001DFBA4" w:rsidR="002A2440" w:rsidRDefault="002A2440">
      <w:pPr>
        <w:pStyle w:val="TOC1"/>
        <w:rPr>
          <w:rFonts w:asciiTheme="minorHAnsi" w:eastAsiaTheme="minorEastAsia" w:hAnsiTheme="minorHAnsi" w:cstheme="minorBidi"/>
          <w:noProof/>
          <w:color w:val="auto"/>
          <w:kern w:val="2"/>
          <w:sz w:val="24"/>
          <w:szCs w:val="24"/>
          <w:lang w:val="en-GB" w:eastAsia="en-GB"/>
          <w14:ligatures w14:val="standardContextual"/>
        </w:rPr>
      </w:pPr>
      <w:r w:rsidRPr="00800C44">
        <w:rPr>
          <w:bCs/>
          <w:noProof/>
          <w:lang w:val="en-US"/>
        </w:rPr>
        <w:t>Subscription and Redemption of Shares</w:t>
      </w:r>
      <w:r>
        <w:rPr>
          <w:noProof/>
        </w:rPr>
        <w:tab/>
      </w:r>
      <w:r>
        <w:rPr>
          <w:noProof/>
        </w:rPr>
        <w:fldChar w:fldCharType="begin"/>
      </w:r>
      <w:r>
        <w:rPr>
          <w:noProof/>
        </w:rPr>
        <w:instrText xml:space="preserve"> PAGEREF _Toc184725739 \h </w:instrText>
      </w:r>
      <w:r>
        <w:rPr>
          <w:noProof/>
        </w:rPr>
      </w:r>
      <w:r>
        <w:rPr>
          <w:noProof/>
        </w:rPr>
        <w:fldChar w:fldCharType="separate"/>
      </w:r>
      <w:r>
        <w:rPr>
          <w:noProof/>
        </w:rPr>
        <w:t>31</w:t>
      </w:r>
      <w:r>
        <w:rPr>
          <w:noProof/>
        </w:rPr>
        <w:fldChar w:fldCharType="end"/>
      </w:r>
    </w:p>
    <w:p w14:paraId="04421BD4" w14:textId="53D07D90" w:rsidR="005070CF" w:rsidRDefault="005070CF" w:rsidP="0098344C">
      <w:pPr>
        <w:pStyle w:val="NoSpacing"/>
        <w:rPr>
          <w:rFonts w:ascii="Calibri" w:hAnsi="Calibri"/>
          <w:noProof/>
          <w:sz w:val="22"/>
          <w:szCs w:val="22"/>
          <w:lang w:val="en-GB" w:eastAsia="en-GB"/>
        </w:rPr>
      </w:pPr>
      <w:r>
        <w:rPr>
          <w:rFonts w:ascii="Calibri" w:hAnsi="Calibri"/>
          <w:noProof/>
          <w:sz w:val="22"/>
          <w:szCs w:val="22"/>
          <w:lang w:val="en-GB" w:eastAsia="en-GB"/>
        </w:rPr>
        <w:fldChar w:fldCharType="end"/>
      </w:r>
    </w:p>
    <w:p w14:paraId="24A5E3F1" w14:textId="1CD68A9A" w:rsidR="001A2D4D" w:rsidRDefault="001A2D4D" w:rsidP="0098344C">
      <w:pPr>
        <w:pStyle w:val="NoSpacing"/>
        <w:rPr>
          <w:rFonts w:ascii="Calibri" w:hAnsi="Calibri"/>
          <w:noProof/>
          <w:sz w:val="22"/>
          <w:szCs w:val="22"/>
          <w:lang w:val="en-GB" w:eastAsia="en-GB"/>
        </w:rPr>
      </w:pPr>
    </w:p>
    <w:p w14:paraId="6D8FF09D" w14:textId="77777777" w:rsidR="001A2D4D" w:rsidRDefault="001A2D4D" w:rsidP="0098344C">
      <w:pPr>
        <w:pStyle w:val="NoSpacing"/>
        <w:rPr>
          <w:rFonts w:ascii="Calibri" w:hAnsi="Calibri"/>
          <w:noProof/>
          <w:sz w:val="22"/>
          <w:szCs w:val="22"/>
          <w:lang w:val="en-GB" w:eastAsia="en-GB"/>
        </w:rPr>
      </w:pPr>
    </w:p>
    <w:p w14:paraId="3644F311" w14:textId="77777777" w:rsidR="00662044" w:rsidRPr="00470248" w:rsidRDefault="00662044" w:rsidP="0098344C">
      <w:pPr>
        <w:rPr>
          <w:szCs w:val="24"/>
        </w:rPr>
      </w:pPr>
    </w:p>
    <w:p w14:paraId="0E2D92CB" w14:textId="77777777" w:rsidR="00662044" w:rsidRPr="00470248" w:rsidRDefault="00662044" w:rsidP="0098344C">
      <w:pPr>
        <w:jc w:val="left"/>
        <w:rPr>
          <w:szCs w:val="24"/>
        </w:rPr>
        <w:sectPr w:rsidR="00662044" w:rsidRPr="00470248">
          <w:headerReference w:type="default" r:id="rId17"/>
          <w:footerReference w:type="default" r:id="rId18"/>
          <w:footnotePr>
            <w:numRestart w:val="eachSect"/>
          </w:footnotePr>
          <w:endnotePr>
            <w:numFmt w:val="decimal"/>
          </w:endnotePr>
          <w:pgSz w:w="11908" w:h="16833"/>
          <w:pgMar w:top="1417" w:right="1417" w:bottom="1417" w:left="1417" w:header="708" w:footer="708" w:gutter="0"/>
          <w:pgNumType w:start="1"/>
          <w:cols w:space="720"/>
          <w:noEndnote/>
        </w:sectPr>
      </w:pPr>
    </w:p>
    <w:p w14:paraId="05653165" w14:textId="77777777" w:rsidR="00662044" w:rsidRPr="00470248" w:rsidRDefault="00662044" w:rsidP="0098344C">
      <w:pPr>
        <w:pStyle w:val="PROSPECTUSSUMMARY-LEVEL1"/>
        <w:jc w:val="center"/>
        <w:rPr>
          <w:b w:val="0"/>
          <w:bCs/>
        </w:rPr>
      </w:pPr>
      <w:bookmarkStart w:id="1" w:name="_Toc416354284"/>
      <w:bookmarkStart w:id="2" w:name="_Toc184725732"/>
      <w:r w:rsidRPr="00470248">
        <w:rPr>
          <w:bCs/>
        </w:rPr>
        <w:lastRenderedPageBreak/>
        <w:t>Definitions</w:t>
      </w:r>
      <w:bookmarkEnd w:id="1"/>
      <w:bookmarkEnd w:id="2"/>
    </w:p>
    <w:p w14:paraId="16249349" w14:textId="77777777" w:rsidR="00662044" w:rsidRPr="00470248" w:rsidRDefault="00662044" w:rsidP="0098344C">
      <w:pPr>
        <w:rPr>
          <w:szCs w:val="24"/>
        </w:rPr>
      </w:pPr>
      <w:r w:rsidRPr="00470248">
        <w:rPr>
          <w:szCs w:val="24"/>
        </w:rPr>
        <w:t>Any words or terms not defined in this Supplement have the same meaning given to them in the Prospectus. The Fund is established pursuant to the European Communities (Undertakings for Collective Investment in Transferable Securities) Regulations 2011 (as amended) (“</w:t>
      </w:r>
      <w:r w:rsidRPr="00470248">
        <w:rPr>
          <w:b/>
          <w:szCs w:val="24"/>
        </w:rPr>
        <w:t>UCITS Regulations</w:t>
      </w:r>
      <w:r w:rsidRPr="00470248">
        <w:rPr>
          <w:szCs w:val="24"/>
        </w:rPr>
        <w:t>”) and this Supplement will be construed accordingly and will comply with the Central Bank UCITS Regulations.</w:t>
      </w:r>
    </w:p>
    <w:p w14:paraId="143315B7" w14:textId="77777777" w:rsidR="00662044" w:rsidRPr="00470248" w:rsidRDefault="00662044" w:rsidP="0098344C">
      <w:pPr>
        <w:rPr>
          <w:szCs w:val="24"/>
        </w:rPr>
      </w:pPr>
    </w:p>
    <w:p w14:paraId="06D4B7D2" w14:textId="77777777" w:rsidR="00662044" w:rsidRPr="00470248" w:rsidRDefault="00662044" w:rsidP="0098344C">
      <w:pPr>
        <w:rPr>
          <w:szCs w:val="24"/>
        </w:rPr>
      </w:pPr>
      <w:bookmarkStart w:id="3" w:name="_DV_M29"/>
      <w:bookmarkEnd w:id="3"/>
      <w:r w:rsidRPr="00470248">
        <w:rPr>
          <w:szCs w:val="24"/>
        </w:rPr>
        <w:t>“</w:t>
      </w:r>
      <w:r w:rsidRPr="00470248">
        <w:rPr>
          <w:b/>
          <w:szCs w:val="24"/>
        </w:rPr>
        <w:t>Business Day</w:t>
      </w:r>
      <w:r w:rsidRPr="00470248">
        <w:rPr>
          <w:szCs w:val="24"/>
        </w:rPr>
        <w:t xml:space="preserve">” means: </w:t>
      </w:r>
    </w:p>
    <w:p w14:paraId="299C9875" w14:textId="77777777" w:rsidR="00662044" w:rsidRPr="00470248" w:rsidRDefault="00662044" w:rsidP="0098344C">
      <w:pPr>
        <w:rPr>
          <w:szCs w:val="24"/>
        </w:rPr>
      </w:pPr>
    </w:p>
    <w:p w14:paraId="77917793" w14:textId="77777777" w:rsidR="00662044" w:rsidRPr="00470248" w:rsidRDefault="00662044" w:rsidP="0098344C">
      <w:pPr>
        <w:ind w:left="700" w:hanging="700"/>
        <w:rPr>
          <w:szCs w:val="24"/>
        </w:rPr>
      </w:pPr>
      <w:r w:rsidRPr="00470248">
        <w:rPr>
          <w:szCs w:val="24"/>
        </w:rPr>
        <w:t>(i)</w:t>
      </w:r>
      <w:r w:rsidRPr="00470248">
        <w:rPr>
          <w:szCs w:val="24"/>
        </w:rPr>
        <w:tab/>
        <w:t>any day (except Saturday or Sunday) on which the banks in Ireland</w:t>
      </w:r>
      <w:r w:rsidR="001106BD">
        <w:rPr>
          <w:szCs w:val="24"/>
        </w:rPr>
        <w:t>, the United States</w:t>
      </w:r>
      <w:r w:rsidRPr="00470248">
        <w:rPr>
          <w:szCs w:val="24"/>
        </w:rPr>
        <w:t xml:space="preserve"> and the United Kingdom are open for business; or </w:t>
      </w:r>
    </w:p>
    <w:p w14:paraId="22A52FA6" w14:textId="77777777" w:rsidR="00662044" w:rsidRPr="00470248" w:rsidRDefault="00662044" w:rsidP="0098344C">
      <w:pPr>
        <w:rPr>
          <w:szCs w:val="24"/>
        </w:rPr>
      </w:pPr>
    </w:p>
    <w:p w14:paraId="3621C6DA" w14:textId="77777777" w:rsidR="00662044" w:rsidRPr="00470248" w:rsidRDefault="00662044" w:rsidP="0098344C">
      <w:pPr>
        <w:ind w:left="700" w:hanging="700"/>
        <w:rPr>
          <w:szCs w:val="24"/>
        </w:rPr>
      </w:pPr>
      <w:r w:rsidRPr="00470248">
        <w:rPr>
          <w:szCs w:val="24"/>
        </w:rPr>
        <w:t>(ii)</w:t>
      </w:r>
      <w:r w:rsidRPr="00470248">
        <w:rPr>
          <w:szCs w:val="24"/>
        </w:rPr>
        <w:tab/>
        <w:t>such other day or days as may be determined from time to time by the Directors and notified in advance to Shareholders;</w:t>
      </w:r>
    </w:p>
    <w:p w14:paraId="48D660FA" w14:textId="77777777" w:rsidR="00662044" w:rsidRPr="00470248" w:rsidRDefault="00662044" w:rsidP="0098344C">
      <w:pPr>
        <w:rPr>
          <w:szCs w:val="24"/>
        </w:rPr>
      </w:pPr>
      <w:bookmarkStart w:id="4" w:name="_DV_M30"/>
      <w:bookmarkStart w:id="5" w:name="_DV_M33"/>
      <w:bookmarkEnd w:id="4"/>
      <w:bookmarkEnd w:id="5"/>
    </w:p>
    <w:p w14:paraId="6353311B" w14:textId="0C932CA3" w:rsidR="00662044" w:rsidRPr="00470248" w:rsidRDefault="00662044" w:rsidP="0098344C">
      <w:pPr>
        <w:rPr>
          <w:szCs w:val="24"/>
        </w:rPr>
      </w:pPr>
      <w:r w:rsidRPr="00470248">
        <w:rPr>
          <w:szCs w:val="24"/>
        </w:rPr>
        <w:t>“</w:t>
      </w:r>
      <w:r w:rsidRPr="00470248">
        <w:rPr>
          <w:b/>
          <w:szCs w:val="24"/>
        </w:rPr>
        <w:t>Dealing Day</w:t>
      </w:r>
      <w:r w:rsidR="00870013">
        <w:rPr>
          <w:szCs w:val="24"/>
        </w:rPr>
        <w:t xml:space="preserve">” </w:t>
      </w:r>
      <w:r w:rsidR="00D1568D">
        <w:rPr>
          <w:szCs w:val="24"/>
        </w:rPr>
        <w:t xml:space="preserve">being </w:t>
      </w:r>
      <w:r w:rsidRPr="00470248">
        <w:rPr>
          <w:szCs w:val="24"/>
        </w:rPr>
        <w:t>the day upon which redemptions and subscriptions occur, means  </w:t>
      </w:r>
    </w:p>
    <w:p w14:paraId="098FD44B" w14:textId="77777777" w:rsidR="00662044" w:rsidRPr="00470248" w:rsidRDefault="00662044" w:rsidP="0098344C">
      <w:pPr>
        <w:rPr>
          <w:szCs w:val="24"/>
        </w:rPr>
      </w:pPr>
    </w:p>
    <w:p w14:paraId="6DD001E8" w14:textId="77777777" w:rsidR="00662044" w:rsidRPr="00470248" w:rsidRDefault="00662044" w:rsidP="0098344C">
      <w:pPr>
        <w:rPr>
          <w:szCs w:val="24"/>
        </w:rPr>
      </w:pPr>
      <w:r w:rsidRPr="00470248">
        <w:rPr>
          <w:szCs w:val="24"/>
        </w:rPr>
        <w:t>(i)</w:t>
      </w:r>
      <w:r w:rsidRPr="00470248">
        <w:rPr>
          <w:szCs w:val="24"/>
        </w:rPr>
        <w:tab/>
        <w:t>each Business Day; and / or </w:t>
      </w:r>
    </w:p>
    <w:p w14:paraId="5FE6181E" w14:textId="57169912" w:rsidR="00662044" w:rsidRPr="00470248" w:rsidRDefault="00662044" w:rsidP="0098344C">
      <w:pPr>
        <w:rPr>
          <w:szCs w:val="24"/>
        </w:rPr>
      </w:pPr>
    </w:p>
    <w:p w14:paraId="19381409" w14:textId="4D970673" w:rsidR="00662044" w:rsidRPr="00470248" w:rsidRDefault="00662044" w:rsidP="0098344C">
      <w:pPr>
        <w:ind w:left="705" w:hanging="705"/>
        <w:rPr>
          <w:szCs w:val="24"/>
        </w:rPr>
      </w:pPr>
      <w:r w:rsidRPr="00470248">
        <w:rPr>
          <w:szCs w:val="24"/>
        </w:rPr>
        <w:t xml:space="preserve">(ii) </w:t>
      </w:r>
      <w:r w:rsidRPr="00470248">
        <w:rPr>
          <w:szCs w:val="24"/>
        </w:rPr>
        <w:tab/>
        <w:t>any other day which the Directors</w:t>
      </w:r>
      <w:r w:rsidR="001B657D">
        <w:rPr>
          <w:szCs w:val="24"/>
        </w:rPr>
        <w:t>, in consultation with the Manager,</w:t>
      </w:r>
      <w:r w:rsidRPr="00470248">
        <w:rPr>
          <w:szCs w:val="24"/>
        </w:rPr>
        <w:t xml:space="preserve"> have determined, subject to advance notice to all Shareholders in the Fund and provided there is at least one Dealing Day per fortnight;</w:t>
      </w:r>
    </w:p>
    <w:p w14:paraId="17656EA5" w14:textId="77777777" w:rsidR="00662044" w:rsidRPr="00470248" w:rsidRDefault="00662044" w:rsidP="0098344C">
      <w:pPr>
        <w:rPr>
          <w:szCs w:val="24"/>
        </w:rPr>
      </w:pPr>
    </w:p>
    <w:p w14:paraId="29526D76" w14:textId="1DF79A8D" w:rsidR="00662044" w:rsidRPr="00470248" w:rsidRDefault="00662044" w:rsidP="0098344C">
      <w:pPr>
        <w:rPr>
          <w:szCs w:val="24"/>
        </w:rPr>
      </w:pPr>
      <w:r w:rsidRPr="00470248">
        <w:rPr>
          <w:b/>
          <w:szCs w:val="24"/>
        </w:rPr>
        <w:t xml:space="preserve">“Fund” </w:t>
      </w:r>
      <w:r w:rsidR="00B64BFD">
        <w:rPr>
          <w:szCs w:val="24"/>
        </w:rPr>
        <w:t xml:space="preserve">means </w:t>
      </w:r>
      <w:r w:rsidR="006469BB">
        <w:rPr>
          <w:szCs w:val="24"/>
        </w:rPr>
        <w:t>Pacific</w:t>
      </w:r>
      <w:r w:rsidR="002B454E">
        <w:rPr>
          <w:szCs w:val="24"/>
        </w:rPr>
        <w:t xml:space="preserve"> Global </w:t>
      </w:r>
      <w:r w:rsidR="00ED04FA">
        <w:rPr>
          <w:szCs w:val="24"/>
        </w:rPr>
        <w:t xml:space="preserve">All </w:t>
      </w:r>
      <w:r w:rsidR="002B454E">
        <w:rPr>
          <w:szCs w:val="24"/>
        </w:rPr>
        <w:t>Cap Opportunities</w:t>
      </w:r>
      <w:r w:rsidR="006469BB">
        <w:rPr>
          <w:szCs w:val="24"/>
        </w:rPr>
        <w:t xml:space="preserve"> </w:t>
      </w:r>
      <w:r w:rsidR="00B1213D">
        <w:rPr>
          <w:szCs w:val="24"/>
        </w:rPr>
        <w:t>Fund</w:t>
      </w:r>
      <w:r w:rsidRPr="00470248">
        <w:rPr>
          <w:szCs w:val="24"/>
        </w:rPr>
        <w:t>;</w:t>
      </w:r>
    </w:p>
    <w:p w14:paraId="5A3E0036" w14:textId="77777777" w:rsidR="00662044" w:rsidRPr="00470248" w:rsidRDefault="00662044" w:rsidP="0098344C">
      <w:pPr>
        <w:rPr>
          <w:szCs w:val="24"/>
        </w:rPr>
      </w:pPr>
    </w:p>
    <w:p w14:paraId="179B083D" w14:textId="77777777" w:rsidR="00662044" w:rsidRPr="0098344C" w:rsidRDefault="00662044" w:rsidP="0098344C">
      <w:pPr>
        <w:rPr>
          <w:rFonts w:eastAsia="MS Mincho"/>
          <w:szCs w:val="24"/>
          <w:shd w:val="clear" w:color="auto" w:fill="FFFFFF"/>
        </w:rPr>
      </w:pPr>
      <w:r w:rsidRPr="00812426">
        <w:rPr>
          <w:szCs w:val="24"/>
          <w:shd w:val="clear" w:color="auto" w:fill="FFFFFF"/>
        </w:rPr>
        <w:t>“</w:t>
      </w:r>
      <w:r w:rsidRPr="0098344C">
        <w:rPr>
          <w:b/>
          <w:szCs w:val="24"/>
          <w:shd w:val="clear" w:color="auto" w:fill="FFFFFF"/>
        </w:rPr>
        <w:t>Redemption Cut-Off Time</w:t>
      </w:r>
      <w:r w:rsidRPr="0098344C">
        <w:rPr>
          <w:szCs w:val="24"/>
          <w:shd w:val="clear" w:color="auto" w:fill="FFFFFF"/>
        </w:rPr>
        <w:t>” means</w:t>
      </w:r>
      <w:r w:rsidRPr="0098344C">
        <w:rPr>
          <w:rFonts w:eastAsia="MS Mincho"/>
          <w:szCs w:val="24"/>
          <w:shd w:val="clear" w:color="auto" w:fill="FFFFFF"/>
        </w:rPr>
        <w:t xml:space="preserve"> 12:00 noon </w:t>
      </w:r>
      <w:r w:rsidRPr="0098344C">
        <w:rPr>
          <w:szCs w:val="24"/>
        </w:rPr>
        <w:t xml:space="preserve">(Irish Time) </w:t>
      </w:r>
      <w:r w:rsidRPr="0098344C">
        <w:rPr>
          <w:rFonts w:eastAsia="MS Mincho"/>
          <w:szCs w:val="24"/>
          <w:shd w:val="clear" w:color="auto" w:fill="FFFFFF"/>
        </w:rPr>
        <w:t xml:space="preserve">on the Business Day </w:t>
      </w:r>
      <w:r w:rsidR="00AB2FA2" w:rsidRPr="0098344C">
        <w:rPr>
          <w:rFonts w:eastAsia="MS Mincho"/>
          <w:szCs w:val="24"/>
          <w:shd w:val="clear" w:color="auto" w:fill="FFFFFF"/>
        </w:rPr>
        <w:t>immediately preceding</w:t>
      </w:r>
      <w:r w:rsidRPr="0098344C">
        <w:rPr>
          <w:rFonts w:eastAsia="MS Mincho"/>
          <w:szCs w:val="24"/>
          <w:shd w:val="clear" w:color="auto" w:fill="FFFFFF"/>
        </w:rPr>
        <w:t xml:space="preserve"> the relevant Dealing Day;</w:t>
      </w:r>
    </w:p>
    <w:p w14:paraId="3197BFDD" w14:textId="77777777" w:rsidR="0031655F" w:rsidRPr="0098344C" w:rsidRDefault="0031655F" w:rsidP="0098344C">
      <w:pPr>
        <w:rPr>
          <w:szCs w:val="24"/>
        </w:rPr>
      </w:pPr>
    </w:p>
    <w:p w14:paraId="25A84180" w14:textId="77777777" w:rsidR="00662044" w:rsidRPr="00470248" w:rsidRDefault="00662044" w:rsidP="0098344C">
      <w:pPr>
        <w:rPr>
          <w:szCs w:val="24"/>
        </w:rPr>
      </w:pPr>
      <w:r w:rsidRPr="0098344C">
        <w:rPr>
          <w:color w:val="000000"/>
          <w:szCs w:val="24"/>
        </w:rPr>
        <w:t>“</w:t>
      </w:r>
      <w:r w:rsidRPr="0098344C">
        <w:rPr>
          <w:b/>
          <w:color w:val="000000"/>
          <w:szCs w:val="24"/>
        </w:rPr>
        <w:t>Subscription Cut-Off Time</w:t>
      </w:r>
      <w:r w:rsidRPr="0098344C">
        <w:rPr>
          <w:color w:val="000000"/>
          <w:szCs w:val="24"/>
        </w:rPr>
        <w:t xml:space="preserve">” </w:t>
      </w:r>
      <w:r w:rsidRPr="0098344C">
        <w:rPr>
          <w:szCs w:val="24"/>
        </w:rPr>
        <w:t>means 12</w:t>
      </w:r>
      <w:r w:rsidRPr="0098344C">
        <w:rPr>
          <w:rFonts w:eastAsia="MS Mincho"/>
          <w:szCs w:val="24"/>
          <w:shd w:val="clear" w:color="auto" w:fill="FFFFFF"/>
        </w:rPr>
        <w:t>:00 noon</w:t>
      </w:r>
      <w:r w:rsidRPr="0098344C">
        <w:rPr>
          <w:szCs w:val="24"/>
        </w:rPr>
        <w:t xml:space="preserve"> (Irish Time) </w:t>
      </w:r>
      <w:r w:rsidRPr="0098344C">
        <w:rPr>
          <w:rFonts w:eastAsia="MS Mincho"/>
          <w:szCs w:val="24"/>
          <w:shd w:val="clear" w:color="auto" w:fill="FFFFFF"/>
        </w:rPr>
        <w:t>on the Business Day immediately preceding the relevant Dealing Day</w:t>
      </w:r>
      <w:r w:rsidRPr="0098344C">
        <w:rPr>
          <w:szCs w:val="24"/>
        </w:rPr>
        <w:t>;</w:t>
      </w:r>
    </w:p>
    <w:p w14:paraId="42E59887" w14:textId="77777777" w:rsidR="00662044" w:rsidRPr="00470248" w:rsidRDefault="00662044" w:rsidP="0098344C">
      <w:pPr>
        <w:rPr>
          <w:szCs w:val="24"/>
        </w:rPr>
      </w:pPr>
    </w:p>
    <w:p w14:paraId="7D194263" w14:textId="2CA6C85B" w:rsidR="00662044" w:rsidRPr="00470248" w:rsidRDefault="00662044" w:rsidP="0098344C">
      <w:pPr>
        <w:rPr>
          <w:szCs w:val="24"/>
        </w:rPr>
      </w:pPr>
      <w:r w:rsidRPr="00470248">
        <w:rPr>
          <w:szCs w:val="24"/>
        </w:rPr>
        <w:t>“</w:t>
      </w:r>
      <w:r w:rsidRPr="00470248">
        <w:rPr>
          <w:b/>
          <w:szCs w:val="24"/>
        </w:rPr>
        <w:t>Valuation Day</w:t>
      </w:r>
      <w:r w:rsidRPr="00470248">
        <w:rPr>
          <w:szCs w:val="24"/>
        </w:rPr>
        <w:t>” means each Dealing Day, unless otherwise determined by the Directors</w:t>
      </w:r>
      <w:r w:rsidRPr="00470248">
        <w:rPr>
          <w:color w:val="000000"/>
          <w:szCs w:val="24"/>
        </w:rPr>
        <w:t>;</w:t>
      </w:r>
      <w:r w:rsidR="00610470">
        <w:rPr>
          <w:color w:val="000000"/>
          <w:szCs w:val="24"/>
        </w:rPr>
        <w:t xml:space="preserve"> and</w:t>
      </w:r>
    </w:p>
    <w:p w14:paraId="4D14DDE1" w14:textId="77777777" w:rsidR="00662044" w:rsidRPr="00470248" w:rsidRDefault="00662044" w:rsidP="0098344C">
      <w:pPr>
        <w:rPr>
          <w:color w:val="000000"/>
          <w:szCs w:val="24"/>
        </w:rPr>
      </w:pPr>
    </w:p>
    <w:p w14:paraId="3490DBC7" w14:textId="289A5FBE" w:rsidR="00662044" w:rsidRPr="00470248" w:rsidRDefault="00662044" w:rsidP="0098344C">
      <w:pPr>
        <w:rPr>
          <w:szCs w:val="24"/>
        </w:rPr>
      </w:pPr>
      <w:r w:rsidRPr="00470248">
        <w:rPr>
          <w:szCs w:val="24"/>
        </w:rPr>
        <w:t>“</w:t>
      </w:r>
      <w:r w:rsidRPr="00470248">
        <w:rPr>
          <w:b/>
          <w:szCs w:val="24"/>
        </w:rPr>
        <w:t>Valuation Point</w:t>
      </w:r>
      <w:r w:rsidRPr="00470248">
        <w:rPr>
          <w:szCs w:val="24"/>
        </w:rPr>
        <w:t>” means 9:00 pm (Irish Time) on each Valuation Day or such other time as the Directors</w:t>
      </w:r>
      <w:r w:rsidR="001B657D">
        <w:rPr>
          <w:szCs w:val="24"/>
        </w:rPr>
        <w:t>, in consultation with the Manager,</w:t>
      </w:r>
      <w:r w:rsidRPr="00470248">
        <w:rPr>
          <w:szCs w:val="24"/>
        </w:rPr>
        <w:t xml:space="preserve"> may determine in respect of the Fund from time to time and as notified in advance to Shareholders</w:t>
      </w:r>
      <w:r w:rsidRPr="00470248">
        <w:rPr>
          <w:color w:val="000000"/>
          <w:szCs w:val="24"/>
        </w:rPr>
        <w:t>.</w:t>
      </w:r>
    </w:p>
    <w:p w14:paraId="344C2F5F" w14:textId="77777777" w:rsidR="00662044" w:rsidRPr="00470248" w:rsidRDefault="00662044" w:rsidP="0098344C">
      <w:pPr>
        <w:rPr>
          <w:color w:val="000000"/>
          <w:szCs w:val="24"/>
        </w:rPr>
      </w:pPr>
    </w:p>
    <w:p w14:paraId="7AB24347" w14:textId="77777777" w:rsidR="00662044" w:rsidRDefault="00662044" w:rsidP="0098344C">
      <w:pPr>
        <w:jc w:val="left"/>
        <w:rPr>
          <w:color w:val="000000"/>
          <w:szCs w:val="24"/>
        </w:rPr>
      </w:pPr>
    </w:p>
    <w:p w14:paraId="69C20D53" w14:textId="6814A2B1" w:rsidR="00812426" w:rsidRPr="00470248" w:rsidRDefault="00812426" w:rsidP="0098344C">
      <w:pPr>
        <w:jc w:val="left"/>
        <w:rPr>
          <w:color w:val="000000"/>
          <w:szCs w:val="24"/>
        </w:rPr>
        <w:sectPr w:rsidR="00812426" w:rsidRPr="00470248">
          <w:footnotePr>
            <w:numRestart w:val="eachSect"/>
          </w:footnotePr>
          <w:endnotePr>
            <w:numFmt w:val="decimal"/>
          </w:endnotePr>
          <w:pgSz w:w="11908" w:h="16833"/>
          <w:pgMar w:top="1417" w:right="1417" w:bottom="1417" w:left="1417" w:header="708" w:footer="708" w:gutter="0"/>
          <w:cols w:space="720"/>
          <w:noEndnote/>
        </w:sectPr>
      </w:pPr>
    </w:p>
    <w:p w14:paraId="548623BC" w14:textId="77777777" w:rsidR="00662044" w:rsidRPr="00470248" w:rsidRDefault="00662044" w:rsidP="0098344C">
      <w:pPr>
        <w:pStyle w:val="PROSPECTUSSUMMARY-LEVEL1"/>
        <w:jc w:val="center"/>
        <w:rPr>
          <w:bCs/>
        </w:rPr>
      </w:pPr>
      <w:bookmarkStart w:id="6" w:name="_DV_M34"/>
      <w:bookmarkStart w:id="7" w:name="_DV_M35"/>
      <w:bookmarkStart w:id="8" w:name="_Toc416354285"/>
      <w:bookmarkStart w:id="9" w:name="_Toc184725733"/>
      <w:bookmarkEnd w:id="6"/>
      <w:bookmarkEnd w:id="7"/>
      <w:r w:rsidRPr="00470248">
        <w:rPr>
          <w:bCs/>
        </w:rPr>
        <w:lastRenderedPageBreak/>
        <w:t>The Fund</w:t>
      </w:r>
      <w:bookmarkEnd w:id="8"/>
      <w:bookmarkEnd w:id="9"/>
    </w:p>
    <w:p w14:paraId="3915C36E" w14:textId="4B61B5DE" w:rsidR="00AB2FA2" w:rsidRPr="00470248" w:rsidRDefault="00AB2FA2" w:rsidP="0098344C">
      <w:pPr>
        <w:rPr>
          <w:b/>
          <w:szCs w:val="24"/>
          <w:lang w:val="en-US"/>
        </w:rPr>
      </w:pPr>
      <w:bookmarkStart w:id="10" w:name="_DV_M36"/>
      <w:bookmarkEnd w:id="10"/>
      <w:r w:rsidRPr="00470248">
        <w:rPr>
          <w:b/>
          <w:szCs w:val="24"/>
          <w:lang w:val="en-US"/>
        </w:rPr>
        <w:t xml:space="preserve">This Supplement forms part of the Prospectus </w:t>
      </w:r>
      <w:r w:rsidRPr="003B029B">
        <w:rPr>
          <w:b/>
          <w:szCs w:val="24"/>
          <w:lang w:val="en-US"/>
        </w:rPr>
        <w:t xml:space="preserve">dated </w:t>
      </w:r>
      <w:r w:rsidR="00AF4D2E">
        <w:rPr>
          <w:b/>
          <w:szCs w:val="24"/>
        </w:rPr>
        <w:t>31 May 2024</w:t>
      </w:r>
      <w:r w:rsidR="00097F39">
        <w:rPr>
          <w:b/>
          <w:szCs w:val="24"/>
        </w:rPr>
        <w:t xml:space="preserve"> </w:t>
      </w:r>
      <w:r w:rsidRPr="003B029B">
        <w:rPr>
          <w:b/>
          <w:szCs w:val="24"/>
          <w:lang w:val="en-US"/>
        </w:rPr>
        <w:t>fo</w:t>
      </w:r>
      <w:r w:rsidRPr="00470248">
        <w:rPr>
          <w:b/>
          <w:szCs w:val="24"/>
          <w:lang w:val="en-US"/>
        </w:rPr>
        <w:t xml:space="preserve">r </w:t>
      </w:r>
      <w:r w:rsidRPr="00470248">
        <w:rPr>
          <w:b/>
          <w:szCs w:val="24"/>
        </w:rPr>
        <w:t>Pacific Capital UCITS Funds plc</w:t>
      </w:r>
      <w:r w:rsidRPr="00470248">
        <w:rPr>
          <w:b/>
          <w:szCs w:val="24"/>
          <w:lang w:val="en-US"/>
        </w:rPr>
        <w:t xml:space="preserve"> and should be read in conjunction with that Prospectus.</w:t>
      </w:r>
    </w:p>
    <w:p w14:paraId="12F72E87" w14:textId="77777777" w:rsidR="00AB2FA2" w:rsidRPr="00470248" w:rsidRDefault="00AB2FA2" w:rsidP="0098344C">
      <w:pPr>
        <w:rPr>
          <w:b/>
          <w:szCs w:val="24"/>
          <w:lang w:val="en-US"/>
        </w:rPr>
      </w:pPr>
    </w:p>
    <w:p w14:paraId="2FC0A32C" w14:textId="3EF0E80B" w:rsidR="00AB2FA2" w:rsidRPr="00470248" w:rsidRDefault="00AB2FA2" w:rsidP="0098344C">
      <w:pPr>
        <w:rPr>
          <w:szCs w:val="24"/>
          <w:lang w:val="en-US"/>
        </w:rPr>
      </w:pPr>
      <w:r w:rsidRPr="00470248">
        <w:rPr>
          <w:szCs w:val="24"/>
          <w:lang w:val="en-US"/>
        </w:rPr>
        <w:t xml:space="preserve">This Supplement contains specific information in relation to </w:t>
      </w:r>
      <w:r w:rsidR="006469BB">
        <w:rPr>
          <w:szCs w:val="24"/>
        </w:rPr>
        <w:t xml:space="preserve">Pacific </w:t>
      </w:r>
      <w:r w:rsidR="002B454E">
        <w:rPr>
          <w:szCs w:val="24"/>
        </w:rPr>
        <w:t xml:space="preserve">Global </w:t>
      </w:r>
      <w:r w:rsidR="00ED04FA">
        <w:rPr>
          <w:szCs w:val="24"/>
        </w:rPr>
        <w:t xml:space="preserve">All </w:t>
      </w:r>
      <w:r w:rsidR="002B454E">
        <w:rPr>
          <w:szCs w:val="24"/>
        </w:rPr>
        <w:t xml:space="preserve">Cap Opportunities </w:t>
      </w:r>
      <w:r w:rsidR="00B1213D">
        <w:rPr>
          <w:szCs w:val="24"/>
        </w:rPr>
        <w:t>Fund</w:t>
      </w:r>
      <w:r w:rsidR="00B64BFD">
        <w:rPr>
          <w:szCs w:val="24"/>
        </w:rPr>
        <w:t xml:space="preserve"> </w:t>
      </w:r>
      <w:r w:rsidRPr="00470248">
        <w:rPr>
          <w:szCs w:val="24"/>
          <w:lang w:val="en-US"/>
        </w:rPr>
        <w:t>(the “</w:t>
      </w:r>
      <w:r w:rsidRPr="0074570D">
        <w:rPr>
          <w:b/>
          <w:szCs w:val="24"/>
          <w:lang w:val="en-US"/>
        </w:rPr>
        <w:t>Fund</w:t>
      </w:r>
      <w:r w:rsidRPr="00470248">
        <w:rPr>
          <w:szCs w:val="24"/>
          <w:lang w:val="en-US"/>
        </w:rPr>
        <w:t xml:space="preserve">”), a sub-fund of </w:t>
      </w:r>
      <w:r w:rsidRPr="00470248">
        <w:rPr>
          <w:szCs w:val="24"/>
        </w:rPr>
        <w:t>Pacific Capital UCITS Funds plc, an investment company with variable capital incorporated in Ireland with registered number 553111</w:t>
      </w:r>
      <w:r w:rsidRPr="00470248">
        <w:rPr>
          <w:b/>
          <w:szCs w:val="24"/>
        </w:rPr>
        <w:t xml:space="preserve"> </w:t>
      </w:r>
      <w:r w:rsidRPr="00470248">
        <w:rPr>
          <w:szCs w:val="24"/>
        </w:rPr>
        <w:t>and established as an umbrella fund with segregated liability between sub-funds</w:t>
      </w:r>
      <w:r w:rsidRPr="00470248">
        <w:rPr>
          <w:szCs w:val="24"/>
          <w:lang w:val="en-US"/>
        </w:rPr>
        <w:t>.</w:t>
      </w:r>
    </w:p>
    <w:p w14:paraId="79D0DC63" w14:textId="77777777" w:rsidR="00080D76" w:rsidRPr="00080D76" w:rsidRDefault="00080D76" w:rsidP="0098344C">
      <w:pPr>
        <w:rPr>
          <w:szCs w:val="24"/>
          <w:lang w:val="en-GB"/>
        </w:rPr>
      </w:pPr>
    </w:p>
    <w:p w14:paraId="0C5F84CD" w14:textId="77777777" w:rsidR="007247DB" w:rsidRDefault="007247DB" w:rsidP="001B47EA">
      <w:pPr>
        <w:rPr>
          <w:szCs w:val="24"/>
          <w:lang w:val="en-US"/>
        </w:rPr>
      </w:pPr>
    </w:p>
    <w:p w14:paraId="6FA227BD" w14:textId="77777777" w:rsidR="00356928" w:rsidRDefault="007247DB" w:rsidP="001B47EA">
      <w:pPr>
        <w:rPr>
          <w:szCs w:val="24"/>
          <w:lang w:val="en-US"/>
        </w:rPr>
      </w:pPr>
      <w:r w:rsidRPr="007247DB">
        <w:rPr>
          <w:b/>
          <w:szCs w:val="24"/>
          <w:lang w:val="en-US"/>
        </w:rPr>
        <w:t xml:space="preserve">An investment in the </w:t>
      </w:r>
      <w:r>
        <w:rPr>
          <w:b/>
          <w:szCs w:val="24"/>
          <w:lang w:val="en-US"/>
        </w:rPr>
        <w:t>F</w:t>
      </w:r>
      <w:r w:rsidRPr="007247DB">
        <w:rPr>
          <w:b/>
          <w:szCs w:val="24"/>
          <w:lang w:val="en-US"/>
        </w:rPr>
        <w:t>und should not constitute a substantial proportion of an investment portfolio and may not be appropriate for all investors.</w:t>
      </w:r>
      <w:r>
        <w:rPr>
          <w:szCs w:val="24"/>
          <w:lang w:val="en-US"/>
        </w:rPr>
        <w:t xml:space="preserve">  </w:t>
      </w:r>
    </w:p>
    <w:p w14:paraId="7947F404" w14:textId="77777777" w:rsidR="00356928" w:rsidRDefault="00356928" w:rsidP="001B47EA">
      <w:pPr>
        <w:rPr>
          <w:szCs w:val="24"/>
          <w:lang w:val="en-US"/>
        </w:rPr>
      </w:pPr>
    </w:p>
    <w:p w14:paraId="131821ED" w14:textId="77777777" w:rsidR="00356928" w:rsidRDefault="00356928" w:rsidP="00356928">
      <w:pPr>
        <w:rPr>
          <w:b/>
          <w:szCs w:val="24"/>
          <w:lang w:val="en-US"/>
        </w:rPr>
      </w:pPr>
      <w:r w:rsidRPr="00965F0D">
        <w:rPr>
          <w:b/>
          <w:szCs w:val="24"/>
          <w:lang w:val="en-US"/>
        </w:rPr>
        <w:t>Although the Fund may invest substantially in cash deposits, cash equivalents, certificates of deposits and</w:t>
      </w:r>
      <w:r>
        <w:rPr>
          <w:b/>
          <w:szCs w:val="24"/>
          <w:lang w:val="en-US"/>
        </w:rPr>
        <w:t xml:space="preserve"> </w:t>
      </w:r>
      <w:r w:rsidRPr="00965F0D">
        <w:rPr>
          <w:b/>
          <w:szCs w:val="24"/>
          <w:lang w:val="en-US"/>
        </w:rPr>
        <w:t>/</w:t>
      </w:r>
      <w:r>
        <w:rPr>
          <w:b/>
          <w:szCs w:val="24"/>
          <w:lang w:val="en-US"/>
        </w:rPr>
        <w:t xml:space="preserve"> </w:t>
      </w:r>
      <w:r w:rsidRPr="00965F0D">
        <w:rPr>
          <w:b/>
          <w:szCs w:val="24"/>
          <w:lang w:val="en-US"/>
        </w:rPr>
        <w:t>or money market instruments in certain circumstances, Shares in the Fund are not deposits and are different in nature to a deposit in that the investment is not guaranteed and the value of the investment is capable of fluctuation. Investment in the Fund involves certain investment risks, including the possible loss of principal.</w:t>
      </w:r>
    </w:p>
    <w:p w14:paraId="1FDA41C3" w14:textId="77777777" w:rsidR="00356928" w:rsidRPr="00965F0D" w:rsidRDefault="00356928" w:rsidP="00356928">
      <w:pPr>
        <w:rPr>
          <w:b/>
          <w:szCs w:val="24"/>
          <w:lang w:val="en-US"/>
        </w:rPr>
      </w:pPr>
    </w:p>
    <w:p w14:paraId="4776747B" w14:textId="5108E589" w:rsidR="00943CEC" w:rsidRPr="00356928" w:rsidRDefault="00356928" w:rsidP="001B47EA">
      <w:pPr>
        <w:rPr>
          <w:b/>
          <w:szCs w:val="24"/>
          <w:lang w:val="en-US"/>
        </w:rPr>
      </w:pPr>
      <w:r w:rsidRPr="00965F0D">
        <w:rPr>
          <w:b/>
          <w:szCs w:val="24"/>
          <w:lang w:val="en-US"/>
        </w:rPr>
        <w:t>In relation to the leverage effect of investing in financial derivative instruments, see “Investment Objectives and Policies-Global Exposure and Leverage” below.</w:t>
      </w:r>
    </w:p>
    <w:p w14:paraId="74EA7557" w14:textId="509D7D64" w:rsidR="003A2517" w:rsidRDefault="003A2517" w:rsidP="001B47EA">
      <w:pPr>
        <w:rPr>
          <w:szCs w:val="24"/>
          <w:lang w:val="en-US"/>
        </w:rPr>
      </w:pPr>
    </w:p>
    <w:p w14:paraId="0FEDB1B4" w14:textId="77777777" w:rsidR="003A2517" w:rsidRDefault="003A2517" w:rsidP="003A2517">
      <w:pPr>
        <w:pStyle w:val="BodyText"/>
        <w:ind w:right="-1"/>
        <w:rPr>
          <w:b/>
          <w:lang w:val="en-GB"/>
        </w:rPr>
      </w:pPr>
      <w:r>
        <w:rPr>
          <w:b/>
        </w:rPr>
        <w:t xml:space="preserve">Shareholders of Distributing Shares should note that some or all of the investment management fees and other fees and expenses of the Fund may be charged to capital where there is insufficient income or capital gains available. Thus, on redemption of holdings, Shareholders in Distributing Share Classes may not receive back the full amount invested. The policy of charging fees and expenses to capital will also have the effect of lowering the capital value of your investment and constraining the potential for future capital growth. </w:t>
      </w:r>
    </w:p>
    <w:p w14:paraId="33469FB6" w14:textId="08E38F93" w:rsidR="00662044" w:rsidRDefault="00662044" w:rsidP="0098344C">
      <w:pPr>
        <w:rPr>
          <w:szCs w:val="24"/>
        </w:rPr>
      </w:pPr>
      <w:r w:rsidRPr="00470248">
        <w:rPr>
          <w:szCs w:val="24"/>
        </w:rPr>
        <w:t xml:space="preserve">The Company currently </w:t>
      </w:r>
      <w:r w:rsidRPr="003B029B">
        <w:rPr>
          <w:szCs w:val="24"/>
        </w:rPr>
        <w:t>offers</w:t>
      </w:r>
      <w:r w:rsidR="00D24AC3" w:rsidRPr="003B029B">
        <w:rPr>
          <w:szCs w:val="24"/>
        </w:rPr>
        <w:t xml:space="preserve"> </w:t>
      </w:r>
      <w:r w:rsidR="00FA6EEA">
        <w:rPr>
          <w:szCs w:val="24"/>
        </w:rPr>
        <w:t>seventy-four</w:t>
      </w:r>
      <w:r w:rsidRPr="003B029B">
        <w:rPr>
          <w:szCs w:val="24"/>
        </w:rPr>
        <w:t xml:space="preserve"> Classes</w:t>
      </w:r>
      <w:r w:rsidRPr="00470248">
        <w:rPr>
          <w:szCs w:val="24"/>
        </w:rPr>
        <w:t xml:space="preserve"> of Shares in the Fund as set out below.  The Company may</w:t>
      </w:r>
      <w:r w:rsidR="001B657D">
        <w:rPr>
          <w:szCs w:val="24"/>
        </w:rPr>
        <w:t>, following consultation with the Manager,</w:t>
      </w:r>
      <w:r w:rsidRPr="00470248">
        <w:rPr>
          <w:szCs w:val="24"/>
        </w:rPr>
        <w:t xml:space="preserve"> also create additional Classes of Shares in the Fund in the future with prior notification to, and clearance in advance by, the Central Bank.</w:t>
      </w:r>
    </w:p>
    <w:p w14:paraId="7A550EC5" w14:textId="77777777" w:rsidR="004F2756" w:rsidRDefault="004F2756" w:rsidP="0098344C">
      <w:pPr>
        <w:rPr>
          <w:szCs w:val="24"/>
        </w:rPr>
      </w:pPr>
    </w:p>
    <w:p w14:paraId="3769CAE8" w14:textId="60E68EDB" w:rsidR="00A054C6" w:rsidRDefault="00A054C6" w:rsidP="0098344C">
      <w:pPr>
        <w:rPr>
          <w:szCs w:val="24"/>
        </w:rPr>
      </w:pPr>
    </w:p>
    <w:p w14:paraId="28FED8BC" w14:textId="77777777" w:rsidR="00FD3385" w:rsidRDefault="00FD3385" w:rsidP="00FD3385">
      <w:pPr>
        <w:rPr>
          <w:szCs w:val="24"/>
        </w:rPr>
      </w:pPr>
    </w:p>
    <w:tbl>
      <w:tblPr>
        <w:tblW w:w="93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98"/>
        <w:gridCol w:w="967"/>
        <w:gridCol w:w="1698"/>
        <w:gridCol w:w="1135"/>
        <w:gridCol w:w="1276"/>
        <w:gridCol w:w="1279"/>
        <w:gridCol w:w="1698"/>
      </w:tblGrid>
      <w:tr w:rsidR="00AC68AD" w:rsidRPr="00E67B03" w14:paraId="19FBCE13" w14:textId="77777777" w:rsidTr="00EC2858">
        <w:trPr>
          <w:trHeight w:val="937"/>
          <w:tblHeader/>
        </w:trPr>
        <w:tc>
          <w:tcPr>
            <w:tcW w:w="1298" w:type="dxa"/>
            <w:tcBorders>
              <w:top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53CD737F" w14:textId="77777777" w:rsidR="00AC68AD" w:rsidRPr="00E67B03" w:rsidRDefault="00AC68AD" w:rsidP="00B87F69">
            <w:pPr>
              <w:jc w:val="center"/>
              <w:rPr>
                <w:b/>
                <w:sz w:val="16"/>
                <w:szCs w:val="16"/>
              </w:rPr>
            </w:pPr>
            <w:r w:rsidRPr="00E67B03">
              <w:rPr>
                <w:b/>
                <w:sz w:val="16"/>
                <w:szCs w:val="16"/>
              </w:rPr>
              <w:t>Share Class</w:t>
            </w:r>
          </w:p>
          <w:p w14:paraId="0BD4A8C1" w14:textId="77777777" w:rsidR="00AC68AD" w:rsidRPr="00E67B03" w:rsidRDefault="00AC68AD" w:rsidP="00B87F69">
            <w:pPr>
              <w:jc w:val="center"/>
              <w:rPr>
                <w:b/>
                <w:sz w:val="16"/>
                <w:szCs w:val="16"/>
              </w:rPr>
            </w:pPr>
            <w:r w:rsidRPr="00E67B03">
              <w:rPr>
                <w:b/>
                <w:sz w:val="16"/>
                <w:szCs w:val="16"/>
              </w:rPr>
              <w:t>Description</w:t>
            </w:r>
          </w:p>
        </w:tc>
        <w:tc>
          <w:tcPr>
            <w:tcW w:w="967"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785AB0E1" w14:textId="77777777" w:rsidR="00AC68AD" w:rsidRPr="00E67B03" w:rsidRDefault="00AC68AD" w:rsidP="00B87F69">
            <w:pPr>
              <w:jc w:val="center"/>
              <w:rPr>
                <w:b/>
                <w:sz w:val="16"/>
                <w:szCs w:val="16"/>
              </w:rPr>
            </w:pPr>
            <w:r w:rsidRPr="00E67B03">
              <w:rPr>
                <w:b/>
                <w:sz w:val="16"/>
                <w:szCs w:val="16"/>
              </w:rPr>
              <w:t>Class Currency</w:t>
            </w:r>
          </w:p>
        </w:tc>
        <w:tc>
          <w:tcPr>
            <w:tcW w:w="1698"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2980E807" w14:textId="77777777" w:rsidR="00AC68AD" w:rsidRPr="00E67B03" w:rsidRDefault="00AC68AD" w:rsidP="00B87F69">
            <w:pPr>
              <w:jc w:val="center"/>
              <w:rPr>
                <w:b/>
                <w:sz w:val="16"/>
                <w:szCs w:val="16"/>
              </w:rPr>
            </w:pPr>
            <w:r w:rsidRPr="00E67B03">
              <w:rPr>
                <w:b/>
                <w:sz w:val="16"/>
                <w:szCs w:val="16"/>
              </w:rPr>
              <w:t>Investment Management Fee</w:t>
            </w:r>
          </w:p>
        </w:tc>
        <w:tc>
          <w:tcPr>
            <w:tcW w:w="1135" w:type="dxa"/>
            <w:tcBorders>
              <w:top w:val="single" w:sz="4" w:space="0" w:color="auto"/>
              <w:left w:val="single" w:sz="4" w:space="0" w:color="auto"/>
              <w:bottom w:val="single" w:sz="4" w:space="0" w:color="auto"/>
              <w:right w:val="single" w:sz="4" w:space="0" w:color="auto"/>
            </w:tcBorders>
            <w:shd w:val="clear" w:color="auto" w:fill="A6A6A6"/>
          </w:tcPr>
          <w:p w14:paraId="5152126F" w14:textId="77777777" w:rsidR="00AC68AD" w:rsidRPr="00E67B03" w:rsidRDefault="00AC68AD" w:rsidP="00B87F69">
            <w:pPr>
              <w:jc w:val="center"/>
              <w:rPr>
                <w:b/>
                <w:sz w:val="16"/>
                <w:szCs w:val="16"/>
              </w:rPr>
            </w:pPr>
            <w:r w:rsidRPr="00E67B03">
              <w:rPr>
                <w:b/>
                <w:sz w:val="16"/>
                <w:szCs w:val="16"/>
              </w:rPr>
              <w:t>Distribution Fee</w:t>
            </w:r>
          </w:p>
        </w:tc>
        <w:tc>
          <w:tcPr>
            <w:tcW w:w="1276"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549A0783" w14:textId="77777777" w:rsidR="00AC68AD" w:rsidRPr="00E67B03" w:rsidRDefault="00AC68AD" w:rsidP="00B87F69">
            <w:pPr>
              <w:jc w:val="center"/>
              <w:rPr>
                <w:b/>
                <w:sz w:val="16"/>
                <w:szCs w:val="16"/>
              </w:rPr>
            </w:pPr>
            <w:r w:rsidRPr="00E67B03">
              <w:rPr>
                <w:b/>
                <w:sz w:val="16"/>
                <w:szCs w:val="16"/>
              </w:rPr>
              <w:t>Performance Fee</w:t>
            </w:r>
          </w:p>
        </w:tc>
        <w:tc>
          <w:tcPr>
            <w:tcW w:w="1279" w:type="dxa"/>
            <w:tcBorders>
              <w:top w:val="single" w:sz="4" w:space="0" w:color="auto"/>
              <w:left w:val="single" w:sz="4" w:space="0" w:color="auto"/>
              <w:bottom w:val="single" w:sz="4" w:space="0" w:color="auto"/>
            </w:tcBorders>
            <w:shd w:val="clear" w:color="auto" w:fill="A6A6A6"/>
            <w:tcMar>
              <w:top w:w="0" w:type="dxa"/>
              <w:left w:w="108" w:type="dxa"/>
              <w:bottom w:w="0" w:type="dxa"/>
              <w:right w:w="108" w:type="dxa"/>
            </w:tcMar>
          </w:tcPr>
          <w:p w14:paraId="341F089A" w14:textId="77777777" w:rsidR="00AC68AD" w:rsidRPr="00E67B03" w:rsidRDefault="00AC68AD" w:rsidP="00B87F69">
            <w:pPr>
              <w:jc w:val="center"/>
              <w:rPr>
                <w:b/>
                <w:sz w:val="16"/>
                <w:szCs w:val="16"/>
              </w:rPr>
            </w:pPr>
            <w:r w:rsidRPr="00E67B03">
              <w:rPr>
                <w:b/>
                <w:sz w:val="16"/>
                <w:szCs w:val="16"/>
              </w:rPr>
              <w:t>Minimum Initial Subscription*</w:t>
            </w:r>
          </w:p>
        </w:tc>
        <w:tc>
          <w:tcPr>
            <w:tcW w:w="1698" w:type="dxa"/>
            <w:tcBorders>
              <w:top w:val="single" w:sz="4" w:space="0" w:color="auto"/>
              <w:left w:val="single" w:sz="4" w:space="0" w:color="auto"/>
              <w:bottom w:val="single" w:sz="4" w:space="0" w:color="auto"/>
            </w:tcBorders>
            <w:shd w:val="clear" w:color="auto" w:fill="A6A6A6"/>
          </w:tcPr>
          <w:p w14:paraId="2599D7E2" w14:textId="77777777" w:rsidR="00AC68AD" w:rsidRPr="00E67B03" w:rsidRDefault="00AC68AD" w:rsidP="00B87F69">
            <w:pPr>
              <w:jc w:val="center"/>
              <w:rPr>
                <w:b/>
                <w:sz w:val="16"/>
                <w:szCs w:val="16"/>
              </w:rPr>
            </w:pPr>
            <w:r w:rsidRPr="00E67B03">
              <w:rPr>
                <w:b/>
                <w:sz w:val="16"/>
                <w:szCs w:val="16"/>
              </w:rPr>
              <w:t>Minimum Holding*</w:t>
            </w:r>
          </w:p>
        </w:tc>
      </w:tr>
      <w:tr w:rsidR="004E7082" w:rsidRPr="00E67B03" w14:paraId="6C45DB2B" w14:textId="77777777" w:rsidTr="004F2756">
        <w:trPr>
          <w:trHeight w:val="262"/>
        </w:trPr>
        <w:tc>
          <w:tcPr>
            <w:tcW w:w="9351" w:type="dxa"/>
            <w:gridSpan w:val="7"/>
            <w:tcBorders>
              <w:top w:val="single" w:sz="4" w:space="0" w:color="auto"/>
              <w:bottom w:val="single" w:sz="4" w:space="0" w:color="auto"/>
            </w:tcBorders>
            <w:tcMar>
              <w:top w:w="0" w:type="dxa"/>
              <w:left w:w="108" w:type="dxa"/>
              <w:bottom w:w="0" w:type="dxa"/>
              <w:right w:w="108" w:type="dxa"/>
            </w:tcMar>
          </w:tcPr>
          <w:p w14:paraId="1D3A9A80" w14:textId="5011AC74" w:rsidR="004E7082" w:rsidRPr="004E7082" w:rsidRDefault="004E7082" w:rsidP="00B87F69">
            <w:pPr>
              <w:jc w:val="center"/>
              <w:rPr>
                <w:b/>
                <w:sz w:val="16"/>
                <w:szCs w:val="16"/>
              </w:rPr>
            </w:pPr>
            <w:r>
              <w:rPr>
                <w:b/>
                <w:sz w:val="16"/>
                <w:szCs w:val="16"/>
              </w:rPr>
              <w:t>Accumulating Share Classes</w:t>
            </w:r>
          </w:p>
        </w:tc>
      </w:tr>
      <w:tr w:rsidR="004E7082" w:rsidRPr="00E67B03" w14:paraId="4C9454A0" w14:textId="77777777" w:rsidTr="004F2756">
        <w:trPr>
          <w:trHeight w:val="282"/>
        </w:trPr>
        <w:tc>
          <w:tcPr>
            <w:tcW w:w="9351" w:type="dxa"/>
            <w:gridSpan w:val="7"/>
            <w:tcBorders>
              <w:top w:val="single" w:sz="4" w:space="0" w:color="auto"/>
              <w:bottom w:val="single" w:sz="4" w:space="0" w:color="auto"/>
            </w:tcBorders>
            <w:tcMar>
              <w:top w:w="0" w:type="dxa"/>
              <w:left w:w="108" w:type="dxa"/>
              <w:bottom w:w="0" w:type="dxa"/>
              <w:right w:w="108" w:type="dxa"/>
            </w:tcMar>
          </w:tcPr>
          <w:p w14:paraId="6CF9F762" w14:textId="4AB64D5D" w:rsidR="004E7082" w:rsidRPr="004E7082" w:rsidRDefault="004E7082" w:rsidP="00B87F69">
            <w:pPr>
              <w:jc w:val="center"/>
              <w:rPr>
                <w:b/>
                <w:sz w:val="16"/>
                <w:szCs w:val="16"/>
              </w:rPr>
            </w:pPr>
            <w:r>
              <w:rPr>
                <w:b/>
                <w:sz w:val="16"/>
                <w:szCs w:val="16"/>
              </w:rPr>
              <w:t>Z Shares</w:t>
            </w:r>
          </w:p>
        </w:tc>
      </w:tr>
      <w:tr w:rsidR="00AC68AD" w:rsidRPr="00E67B03" w14:paraId="22884ABC"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93E3D34" w14:textId="77777777" w:rsidR="00AC68AD" w:rsidRPr="00E67B03" w:rsidRDefault="00AC68AD" w:rsidP="00B87F69">
            <w:pPr>
              <w:jc w:val="center"/>
              <w:rPr>
                <w:b/>
                <w:sz w:val="16"/>
                <w:szCs w:val="16"/>
              </w:rPr>
            </w:pPr>
            <w:r w:rsidRPr="00E67B03">
              <w:rPr>
                <w:b/>
                <w:sz w:val="16"/>
                <w:szCs w:val="16"/>
              </w:rPr>
              <w:t>EUR Z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EA7BE" w14:textId="77777777" w:rsidR="00AC68AD" w:rsidRPr="00E67B03" w:rsidRDefault="00AC68AD" w:rsidP="00B87F69">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86D23" w14:textId="77777777" w:rsidR="00AC68AD" w:rsidRPr="00E67B03" w:rsidRDefault="00AC68AD" w:rsidP="00B87F69">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69F8173" w14:textId="77777777" w:rsidR="00AC68AD" w:rsidRPr="00E67B03" w:rsidRDefault="00AC68AD" w:rsidP="00B87F69">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5F94A" w14:textId="77777777" w:rsidR="00AC68AD" w:rsidRPr="00E67B03" w:rsidRDefault="00AC68AD" w:rsidP="00B87F69">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1A93D8F" w14:textId="77777777" w:rsidR="00AC68AD" w:rsidRPr="00E67B03" w:rsidRDefault="00AC68AD" w:rsidP="00B87F69">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64AB8132" w14:textId="77777777" w:rsidR="00AC68AD" w:rsidRPr="00E67B03" w:rsidRDefault="00AC68AD" w:rsidP="00B87F69">
            <w:pPr>
              <w:jc w:val="center"/>
              <w:rPr>
                <w:sz w:val="16"/>
                <w:szCs w:val="16"/>
              </w:rPr>
            </w:pPr>
            <w:r w:rsidRPr="00E67B03">
              <w:rPr>
                <w:sz w:val="16"/>
                <w:szCs w:val="16"/>
              </w:rPr>
              <w:t>€50,000</w:t>
            </w:r>
          </w:p>
        </w:tc>
      </w:tr>
      <w:tr w:rsidR="00AC68AD" w:rsidRPr="00E67B03" w14:paraId="5AADF5EB"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1A7D387" w14:textId="77777777" w:rsidR="00AC68AD" w:rsidRPr="00E67B03" w:rsidRDefault="00AC68AD" w:rsidP="00B87F69">
            <w:pPr>
              <w:jc w:val="center"/>
              <w:rPr>
                <w:b/>
                <w:sz w:val="16"/>
                <w:szCs w:val="16"/>
              </w:rPr>
            </w:pPr>
            <w:r w:rsidRPr="00E67B03">
              <w:rPr>
                <w:b/>
                <w:sz w:val="16"/>
                <w:szCs w:val="16"/>
              </w:rPr>
              <w:t>GBP Z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ADBF3" w14:textId="77777777" w:rsidR="00AC68AD" w:rsidRPr="00E67B03" w:rsidRDefault="00AC68AD" w:rsidP="00B87F69">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EF4AC" w14:textId="77777777" w:rsidR="00AC68AD" w:rsidRPr="00E67B03" w:rsidRDefault="00AC68AD" w:rsidP="00B87F69">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27ED4D8B" w14:textId="77777777" w:rsidR="00AC68AD" w:rsidRPr="00E67B03" w:rsidRDefault="00AC68AD" w:rsidP="00B87F69">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85EB" w14:textId="77777777" w:rsidR="00AC68AD" w:rsidRPr="00E67B03" w:rsidRDefault="00AC68AD" w:rsidP="00B87F69">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6F525997" w14:textId="77777777" w:rsidR="00AC68AD" w:rsidRPr="00E67B03" w:rsidRDefault="00AC68AD" w:rsidP="00B87F69">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4543F229" w14:textId="77777777" w:rsidR="00AC68AD" w:rsidRPr="00E67B03" w:rsidRDefault="00AC68AD" w:rsidP="00B87F69">
            <w:pPr>
              <w:jc w:val="center"/>
              <w:rPr>
                <w:sz w:val="16"/>
                <w:szCs w:val="16"/>
              </w:rPr>
            </w:pPr>
            <w:r w:rsidRPr="00E67B03">
              <w:rPr>
                <w:sz w:val="16"/>
                <w:szCs w:val="16"/>
              </w:rPr>
              <w:t>£50,000</w:t>
            </w:r>
          </w:p>
        </w:tc>
      </w:tr>
      <w:tr w:rsidR="00AC68AD" w:rsidRPr="00E67B03" w14:paraId="47692C25"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EC02F35" w14:textId="77777777" w:rsidR="00AC68AD" w:rsidRPr="00E67B03" w:rsidRDefault="00AC68AD" w:rsidP="00B87F69">
            <w:pPr>
              <w:jc w:val="center"/>
              <w:rPr>
                <w:b/>
                <w:sz w:val="16"/>
                <w:szCs w:val="16"/>
              </w:rPr>
            </w:pPr>
            <w:r w:rsidRPr="00E67B03">
              <w:rPr>
                <w:b/>
                <w:sz w:val="16"/>
                <w:szCs w:val="16"/>
              </w:rPr>
              <w:lastRenderedPageBreak/>
              <w:t>CHF Z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FE13E" w14:textId="77777777" w:rsidR="00AC68AD" w:rsidRPr="00E67B03" w:rsidRDefault="00AC68AD" w:rsidP="00B87F69">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70520" w14:textId="77777777" w:rsidR="00AC68AD" w:rsidRPr="00E67B03" w:rsidRDefault="00AC68AD" w:rsidP="00B87F69">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95C7A96" w14:textId="77777777" w:rsidR="00AC68AD" w:rsidRPr="00E67B03" w:rsidRDefault="00AC68AD" w:rsidP="00B87F69">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79DCA" w14:textId="77777777" w:rsidR="00AC68AD" w:rsidRPr="00E67B03" w:rsidRDefault="00AC68AD" w:rsidP="00B87F69">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9CD2B4C" w14:textId="77777777" w:rsidR="00AC68AD" w:rsidRPr="00E67B03" w:rsidRDefault="00AC68AD" w:rsidP="00B87F69">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1F02BF14" w14:textId="77777777" w:rsidR="00AC68AD" w:rsidRPr="00E67B03" w:rsidRDefault="00AC68AD" w:rsidP="00B87F69">
            <w:pPr>
              <w:jc w:val="center"/>
              <w:rPr>
                <w:sz w:val="16"/>
                <w:szCs w:val="16"/>
              </w:rPr>
            </w:pPr>
            <w:r w:rsidRPr="00E67B03">
              <w:rPr>
                <w:sz w:val="16"/>
                <w:szCs w:val="16"/>
              </w:rPr>
              <w:t>CHF 50,000</w:t>
            </w:r>
          </w:p>
        </w:tc>
      </w:tr>
      <w:tr w:rsidR="00AC68AD" w:rsidRPr="00E67B03" w14:paraId="5342829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28CF6507" w14:textId="77777777" w:rsidR="00AC68AD" w:rsidRPr="00E67B03" w:rsidRDefault="00AC68AD" w:rsidP="00B87F69">
            <w:pPr>
              <w:jc w:val="center"/>
              <w:rPr>
                <w:b/>
                <w:sz w:val="16"/>
                <w:szCs w:val="16"/>
              </w:rPr>
            </w:pPr>
            <w:r w:rsidRPr="00E67B03">
              <w:rPr>
                <w:b/>
                <w:sz w:val="16"/>
                <w:szCs w:val="16"/>
              </w:rPr>
              <w:t>USD Z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3925D" w14:textId="77777777" w:rsidR="00AC68AD" w:rsidRPr="00E67B03" w:rsidRDefault="00AC68AD" w:rsidP="00B87F69">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A0C25" w14:textId="77777777" w:rsidR="00AC68AD" w:rsidRPr="00E67B03" w:rsidRDefault="00AC68AD" w:rsidP="00B87F69">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A30C2EF" w14:textId="77777777" w:rsidR="00AC68AD" w:rsidRPr="00E67B03" w:rsidRDefault="00AC68AD" w:rsidP="00B87F69">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30CFC" w14:textId="77777777" w:rsidR="00AC68AD" w:rsidRPr="00E67B03" w:rsidRDefault="00AC68AD" w:rsidP="00B87F69">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1F06084D" w14:textId="77777777" w:rsidR="00AC68AD" w:rsidRPr="00E67B03" w:rsidRDefault="00AC68AD" w:rsidP="00B87F69">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4579230D" w14:textId="77777777" w:rsidR="00AC68AD" w:rsidRPr="00E67B03" w:rsidRDefault="00AC68AD" w:rsidP="00B87F69">
            <w:pPr>
              <w:jc w:val="center"/>
              <w:rPr>
                <w:sz w:val="16"/>
                <w:szCs w:val="16"/>
              </w:rPr>
            </w:pPr>
            <w:r w:rsidRPr="00E67B03">
              <w:rPr>
                <w:sz w:val="16"/>
                <w:szCs w:val="16"/>
              </w:rPr>
              <w:t>$50,000</w:t>
            </w:r>
          </w:p>
        </w:tc>
      </w:tr>
      <w:tr w:rsidR="00AC68AD" w:rsidRPr="00E67B03" w14:paraId="4F5D849C"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9F090C9" w14:textId="536340F8" w:rsidR="00AC68AD" w:rsidRPr="00BF48F2" w:rsidRDefault="00AC68AD" w:rsidP="00FD3385">
            <w:pPr>
              <w:jc w:val="center"/>
              <w:rPr>
                <w:b/>
                <w:sz w:val="16"/>
                <w:szCs w:val="16"/>
              </w:rPr>
            </w:pPr>
            <w:r w:rsidRPr="00BF48F2">
              <w:rPr>
                <w:b/>
                <w:sz w:val="16"/>
                <w:szCs w:val="16"/>
              </w:rPr>
              <w:t>AUD Z</w:t>
            </w:r>
          </w:p>
          <w:p w14:paraId="28D03C25" w14:textId="7CEF50B9" w:rsidR="00AC68AD" w:rsidRPr="00FD3385" w:rsidRDefault="00AC68AD" w:rsidP="00FD3385">
            <w:pPr>
              <w:jc w:val="center"/>
              <w:rPr>
                <w:b/>
                <w:sz w:val="16"/>
                <w:szCs w:val="16"/>
              </w:rPr>
            </w:pPr>
            <w:r w:rsidRPr="00BF48F2">
              <w:rPr>
                <w:b/>
                <w:sz w:val="16"/>
                <w:szCs w:val="16"/>
              </w:rPr>
              <w:t>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012C9" w14:textId="03F8C405" w:rsidR="00AC68AD" w:rsidRPr="00FD3385" w:rsidRDefault="00AC68AD" w:rsidP="00FD3385">
            <w:pPr>
              <w:jc w:val="center"/>
              <w:rPr>
                <w:sz w:val="16"/>
                <w:szCs w:val="16"/>
              </w:rPr>
            </w:pPr>
            <w:r w:rsidRPr="008B0F98">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0CE8" w14:textId="169E44F2" w:rsidR="00AC68AD" w:rsidRPr="00FD3385" w:rsidRDefault="00AC68AD" w:rsidP="00FD3385">
            <w:pPr>
              <w:jc w:val="center"/>
              <w:rPr>
                <w:sz w:val="16"/>
                <w:szCs w:val="16"/>
              </w:rPr>
            </w:pPr>
            <w:r w:rsidRPr="00FD3385">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72D2EF7A" w14:textId="16ADD103" w:rsidR="00AC68AD" w:rsidRPr="00FD3385" w:rsidRDefault="00AC68AD" w:rsidP="00FD3385">
            <w:pPr>
              <w:jc w:val="center"/>
              <w:rPr>
                <w:sz w:val="16"/>
                <w:szCs w:val="16"/>
              </w:rPr>
            </w:pPr>
            <w:r w:rsidRPr="00FD3385">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A1B4D" w14:textId="25381FC8"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D3615BD" w14:textId="72BE1A94" w:rsidR="00AC68AD" w:rsidRPr="00E67B03" w:rsidRDefault="00AC68AD" w:rsidP="00FD3385">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2EECD96A" w14:textId="04462133" w:rsidR="00AC68AD" w:rsidRPr="00E67B03" w:rsidRDefault="00AC68AD" w:rsidP="00FD3385">
            <w:pPr>
              <w:jc w:val="center"/>
              <w:rPr>
                <w:sz w:val="16"/>
                <w:szCs w:val="16"/>
              </w:rPr>
            </w:pPr>
            <w:r>
              <w:rPr>
                <w:sz w:val="16"/>
                <w:szCs w:val="16"/>
              </w:rPr>
              <w:t>AUD</w:t>
            </w:r>
            <w:r w:rsidRPr="00E67B03">
              <w:rPr>
                <w:sz w:val="16"/>
                <w:szCs w:val="16"/>
              </w:rPr>
              <w:t>50,000</w:t>
            </w:r>
          </w:p>
        </w:tc>
      </w:tr>
      <w:tr w:rsidR="001024E8" w:rsidRPr="00E67B03" w14:paraId="5E486B86" w14:textId="77777777" w:rsidTr="004F2756">
        <w:trPr>
          <w:trHeight w:val="519"/>
        </w:trPr>
        <w:tc>
          <w:tcPr>
            <w:tcW w:w="9351" w:type="dxa"/>
            <w:gridSpan w:val="7"/>
            <w:tcBorders>
              <w:top w:val="single" w:sz="4" w:space="0" w:color="auto"/>
              <w:bottom w:val="single" w:sz="4" w:space="0" w:color="auto"/>
            </w:tcBorders>
            <w:tcMar>
              <w:top w:w="0" w:type="dxa"/>
              <w:left w:w="108" w:type="dxa"/>
              <w:bottom w:w="0" w:type="dxa"/>
              <w:right w:w="108" w:type="dxa"/>
            </w:tcMar>
          </w:tcPr>
          <w:p w14:paraId="24154017" w14:textId="6BE3174C" w:rsidR="001024E8" w:rsidRPr="001024E8" w:rsidRDefault="001024E8" w:rsidP="00FD3385">
            <w:pPr>
              <w:jc w:val="center"/>
              <w:rPr>
                <w:b/>
                <w:sz w:val="16"/>
                <w:szCs w:val="16"/>
              </w:rPr>
            </w:pPr>
            <w:r>
              <w:rPr>
                <w:b/>
                <w:sz w:val="16"/>
                <w:szCs w:val="16"/>
              </w:rPr>
              <w:t>E Shares</w:t>
            </w:r>
          </w:p>
        </w:tc>
      </w:tr>
      <w:tr w:rsidR="001024E8" w:rsidRPr="001024E8" w14:paraId="19DFA57B"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48B38" w14:textId="77777777" w:rsidR="001024E8" w:rsidRPr="00171424" w:rsidRDefault="001024E8" w:rsidP="001024E8">
            <w:pPr>
              <w:jc w:val="center"/>
              <w:rPr>
                <w:rFonts w:eastAsia="Calibri" w:cs="Arial"/>
                <w:b/>
                <w:bCs/>
                <w:sz w:val="16"/>
                <w:szCs w:val="16"/>
                <w:lang w:val="en-GB" w:eastAsia="en-GB"/>
              </w:rPr>
            </w:pPr>
            <w:r w:rsidRPr="00171424">
              <w:rPr>
                <w:rFonts w:eastAsia="Calibri" w:cs="Arial"/>
                <w:b/>
                <w:bCs/>
                <w:sz w:val="16"/>
                <w:szCs w:val="16"/>
                <w:lang w:val="en-GB" w:eastAsia="en-GB"/>
              </w:rPr>
              <w:t>EUR E Accumulating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1E9DB731"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EUR</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23899018"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6F69B285"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4F2954C"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29565D8D"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FB500"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€50,000</w:t>
            </w:r>
          </w:p>
        </w:tc>
      </w:tr>
      <w:tr w:rsidR="001024E8" w:rsidRPr="001024E8" w14:paraId="113F5243"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C297D" w14:textId="77777777" w:rsidR="001024E8" w:rsidRPr="00171424" w:rsidRDefault="001024E8" w:rsidP="001024E8">
            <w:pPr>
              <w:jc w:val="center"/>
              <w:rPr>
                <w:rFonts w:eastAsia="Calibri" w:cs="Arial"/>
                <w:b/>
                <w:bCs/>
                <w:sz w:val="16"/>
                <w:szCs w:val="16"/>
                <w:lang w:val="en-GB" w:eastAsia="en-GB"/>
              </w:rPr>
            </w:pPr>
            <w:r w:rsidRPr="00171424">
              <w:rPr>
                <w:rFonts w:eastAsia="Calibri" w:cs="Arial"/>
                <w:b/>
                <w:bCs/>
                <w:sz w:val="16"/>
                <w:szCs w:val="16"/>
                <w:lang w:val="en-GB" w:eastAsia="en-GB"/>
              </w:rPr>
              <w:t>GBP E Accumulating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20307708"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GBP</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7E53207B"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5611FFD3"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B902649"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34196FD3"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B90F"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£50,000</w:t>
            </w:r>
          </w:p>
        </w:tc>
      </w:tr>
      <w:tr w:rsidR="001024E8" w:rsidRPr="001024E8" w14:paraId="58256E23"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397B3" w14:textId="77777777" w:rsidR="001024E8" w:rsidRPr="00171424" w:rsidRDefault="001024E8" w:rsidP="001024E8">
            <w:pPr>
              <w:jc w:val="center"/>
              <w:rPr>
                <w:rFonts w:eastAsia="Calibri" w:cs="Arial"/>
                <w:b/>
                <w:bCs/>
                <w:sz w:val="16"/>
                <w:szCs w:val="16"/>
                <w:lang w:val="en-GB" w:eastAsia="en-GB"/>
              </w:rPr>
            </w:pPr>
            <w:r w:rsidRPr="00171424">
              <w:rPr>
                <w:rFonts w:eastAsia="Calibri" w:cs="Arial"/>
                <w:b/>
                <w:bCs/>
                <w:sz w:val="16"/>
                <w:szCs w:val="16"/>
                <w:lang w:val="en-GB" w:eastAsia="en-GB"/>
              </w:rPr>
              <w:t>CHF E Accumulating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4D1F932E"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CHF</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4F5E2DCB"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6B0F95AB"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FEDA18E"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6A5B95BB"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CHF 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C1C45"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CHF 50,000</w:t>
            </w:r>
          </w:p>
        </w:tc>
      </w:tr>
      <w:tr w:rsidR="001024E8" w:rsidRPr="001024E8" w14:paraId="2C0C7ED6"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F2436" w14:textId="77777777" w:rsidR="001024E8" w:rsidRPr="00171424" w:rsidRDefault="001024E8" w:rsidP="001024E8">
            <w:pPr>
              <w:jc w:val="center"/>
              <w:rPr>
                <w:rFonts w:eastAsia="Calibri" w:cs="Arial"/>
                <w:b/>
                <w:bCs/>
                <w:sz w:val="16"/>
                <w:szCs w:val="16"/>
                <w:lang w:val="en-GB" w:eastAsia="en-GB"/>
              </w:rPr>
            </w:pPr>
            <w:r w:rsidRPr="00171424">
              <w:rPr>
                <w:rFonts w:eastAsia="Calibri" w:cs="Arial"/>
                <w:b/>
                <w:bCs/>
                <w:sz w:val="16"/>
                <w:szCs w:val="16"/>
                <w:lang w:val="en-GB" w:eastAsia="en-GB"/>
              </w:rPr>
              <w:t>USD E Accumulating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0D1CE9E3"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USD</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29455AC5"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64B7FEF9"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BD7445"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5C223E6D"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1C0C1"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$50,000</w:t>
            </w:r>
          </w:p>
        </w:tc>
      </w:tr>
      <w:tr w:rsidR="001024E8" w:rsidRPr="001024E8" w14:paraId="1C3F7EDF"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A9F98" w14:textId="77777777" w:rsidR="001024E8" w:rsidRPr="00171424" w:rsidRDefault="001024E8" w:rsidP="001024E8">
            <w:pPr>
              <w:jc w:val="center"/>
              <w:rPr>
                <w:rFonts w:eastAsia="Calibri" w:cs="Arial"/>
                <w:b/>
                <w:bCs/>
                <w:sz w:val="16"/>
                <w:szCs w:val="16"/>
                <w:lang w:val="en-GB" w:eastAsia="en-GB"/>
              </w:rPr>
            </w:pPr>
            <w:r w:rsidRPr="00171424">
              <w:rPr>
                <w:rFonts w:eastAsia="Calibri" w:cs="Arial"/>
                <w:b/>
                <w:bCs/>
                <w:sz w:val="16"/>
                <w:szCs w:val="16"/>
                <w:lang w:val="en-GB" w:eastAsia="en-GB"/>
              </w:rPr>
              <w:lastRenderedPageBreak/>
              <w:t>AUD E</w:t>
            </w:r>
          </w:p>
          <w:p w14:paraId="737991D6" w14:textId="77777777" w:rsidR="001024E8" w:rsidRPr="00171424" w:rsidRDefault="001024E8" w:rsidP="001024E8">
            <w:pPr>
              <w:jc w:val="center"/>
              <w:rPr>
                <w:rFonts w:eastAsia="Calibri" w:cs="Arial"/>
                <w:b/>
                <w:bCs/>
                <w:sz w:val="16"/>
                <w:szCs w:val="16"/>
                <w:lang w:val="en-GB" w:eastAsia="en-GB"/>
              </w:rPr>
            </w:pPr>
            <w:r w:rsidRPr="00171424">
              <w:rPr>
                <w:rFonts w:eastAsia="Calibri" w:cs="Arial"/>
                <w:b/>
                <w:bCs/>
                <w:sz w:val="16"/>
                <w:szCs w:val="16"/>
                <w:lang w:val="en-GB" w:eastAsia="en-GB"/>
              </w:rPr>
              <w:t>Accumulating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19DCB641"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AUD</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4348AAAA"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55C8076F"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D218B2"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180A49AC"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AUD50,000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8F944" w14:textId="77777777" w:rsidR="001024E8" w:rsidRPr="00171424" w:rsidRDefault="001024E8" w:rsidP="001024E8">
            <w:pPr>
              <w:jc w:val="center"/>
              <w:rPr>
                <w:rFonts w:eastAsia="Calibri" w:cs="Arial"/>
                <w:sz w:val="16"/>
                <w:szCs w:val="16"/>
                <w:lang w:val="en-GB" w:eastAsia="en-GB"/>
              </w:rPr>
            </w:pPr>
            <w:r w:rsidRPr="00171424">
              <w:rPr>
                <w:rFonts w:eastAsia="Calibri" w:cs="Arial"/>
                <w:sz w:val="16"/>
                <w:szCs w:val="16"/>
                <w:lang w:val="en-GB" w:eastAsia="en-GB"/>
              </w:rPr>
              <w:t>AUD50,000</w:t>
            </w:r>
          </w:p>
        </w:tc>
      </w:tr>
      <w:tr w:rsidR="00463A4D" w:rsidRPr="00E67B03" w14:paraId="117286C2" w14:textId="77777777" w:rsidTr="004F2756">
        <w:trPr>
          <w:trHeight w:val="396"/>
        </w:trPr>
        <w:tc>
          <w:tcPr>
            <w:tcW w:w="9351" w:type="dxa"/>
            <w:gridSpan w:val="7"/>
            <w:tcBorders>
              <w:top w:val="single" w:sz="4" w:space="0" w:color="auto"/>
              <w:bottom w:val="single" w:sz="4" w:space="0" w:color="auto"/>
            </w:tcBorders>
            <w:tcMar>
              <w:top w:w="0" w:type="dxa"/>
              <w:left w:w="108" w:type="dxa"/>
              <w:bottom w:w="0" w:type="dxa"/>
              <w:right w:w="108" w:type="dxa"/>
            </w:tcMar>
          </w:tcPr>
          <w:p w14:paraId="75A68CC0" w14:textId="491F05C8" w:rsidR="00463A4D" w:rsidRPr="00E67B03" w:rsidRDefault="00463A4D" w:rsidP="00FD3385">
            <w:pPr>
              <w:jc w:val="center"/>
              <w:rPr>
                <w:sz w:val="16"/>
                <w:szCs w:val="16"/>
              </w:rPr>
            </w:pPr>
            <w:r>
              <w:rPr>
                <w:b/>
                <w:sz w:val="16"/>
                <w:szCs w:val="16"/>
              </w:rPr>
              <w:t>Institutional Classes</w:t>
            </w:r>
          </w:p>
        </w:tc>
      </w:tr>
      <w:tr w:rsidR="00AC68AD" w:rsidRPr="00E67B03" w14:paraId="68ABA67F"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72123AC6" w14:textId="77777777" w:rsidR="00AC68AD" w:rsidRPr="00E67B03" w:rsidRDefault="00AC68AD" w:rsidP="00FD3385">
            <w:pPr>
              <w:jc w:val="center"/>
              <w:rPr>
                <w:b/>
                <w:sz w:val="16"/>
                <w:szCs w:val="16"/>
              </w:rPr>
            </w:pPr>
            <w:r w:rsidRPr="00E67B03">
              <w:rPr>
                <w:b/>
                <w:sz w:val="16"/>
                <w:szCs w:val="16"/>
              </w:rPr>
              <w:t>EUR I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5B777"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DF0B"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19BF7401"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F705"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71FE5E8B" w14:textId="77777777" w:rsidR="00AC68AD" w:rsidRPr="00E67B03" w:rsidRDefault="00AC68AD" w:rsidP="00FD3385">
            <w:pPr>
              <w:jc w:val="center"/>
              <w:rPr>
                <w:sz w:val="16"/>
                <w:szCs w:val="16"/>
              </w:rPr>
            </w:pPr>
            <w:r w:rsidRPr="00E67B03">
              <w:rPr>
                <w:sz w:val="16"/>
                <w:szCs w:val="16"/>
              </w:rPr>
              <w:t>€1,000,000</w:t>
            </w:r>
          </w:p>
        </w:tc>
        <w:tc>
          <w:tcPr>
            <w:tcW w:w="1698" w:type="dxa"/>
            <w:tcBorders>
              <w:top w:val="single" w:sz="4" w:space="0" w:color="auto"/>
              <w:left w:val="single" w:sz="4" w:space="0" w:color="auto"/>
              <w:bottom w:val="single" w:sz="4" w:space="0" w:color="auto"/>
            </w:tcBorders>
          </w:tcPr>
          <w:p w14:paraId="467DF1A2" w14:textId="77777777" w:rsidR="00AC68AD" w:rsidRPr="00E67B03" w:rsidRDefault="00AC68AD" w:rsidP="00FD3385">
            <w:pPr>
              <w:jc w:val="center"/>
              <w:rPr>
                <w:sz w:val="16"/>
                <w:szCs w:val="16"/>
              </w:rPr>
            </w:pPr>
            <w:r w:rsidRPr="00E67B03">
              <w:rPr>
                <w:sz w:val="16"/>
                <w:szCs w:val="16"/>
              </w:rPr>
              <w:t>€1,000,000</w:t>
            </w:r>
          </w:p>
        </w:tc>
      </w:tr>
      <w:tr w:rsidR="00AC68AD" w:rsidRPr="00E67B03" w14:paraId="6B01A57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1C1F3D64" w14:textId="77777777" w:rsidR="00AC68AD" w:rsidRPr="00E67B03" w:rsidRDefault="00AC68AD" w:rsidP="00FD3385">
            <w:pPr>
              <w:jc w:val="center"/>
              <w:rPr>
                <w:b/>
                <w:sz w:val="16"/>
                <w:szCs w:val="16"/>
              </w:rPr>
            </w:pPr>
            <w:r w:rsidRPr="00E67B03">
              <w:rPr>
                <w:b/>
                <w:sz w:val="16"/>
                <w:szCs w:val="16"/>
              </w:rPr>
              <w:t>GBP I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2E457"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E8FC7"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0CEA6DA"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3BFB5"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763E334E" w14:textId="77777777" w:rsidR="00AC68AD" w:rsidRPr="00E67B03" w:rsidRDefault="00AC68AD" w:rsidP="00FD3385">
            <w:pPr>
              <w:jc w:val="center"/>
              <w:rPr>
                <w:sz w:val="16"/>
                <w:szCs w:val="16"/>
              </w:rPr>
            </w:pPr>
            <w:r w:rsidRPr="00E67B03">
              <w:rPr>
                <w:sz w:val="16"/>
                <w:szCs w:val="16"/>
              </w:rPr>
              <w:t>£1,000,000</w:t>
            </w:r>
          </w:p>
        </w:tc>
        <w:tc>
          <w:tcPr>
            <w:tcW w:w="1698" w:type="dxa"/>
            <w:tcBorders>
              <w:top w:val="single" w:sz="4" w:space="0" w:color="auto"/>
              <w:left w:val="single" w:sz="4" w:space="0" w:color="auto"/>
              <w:bottom w:val="single" w:sz="4" w:space="0" w:color="auto"/>
            </w:tcBorders>
          </w:tcPr>
          <w:p w14:paraId="4B432C27" w14:textId="77777777" w:rsidR="00AC68AD" w:rsidRPr="00E67B03" w:rsidRDefault="00AC68AD" w:rsidP="00FD3385">
            <w:pPr>
              <w:jc w:val="center"/>
              <w:rPr>
                <w:sz w:val="16"/>
                <w:szCs w:val="16"/>
              </w:rPr>
            </w:pPr>
            <w:r w:rsidRPr="00E67B03">
              <w:rPr>
                <w:sz w:val="16"/>
                <w:szCs w:val="16"/>
              </w:rPr>
              <w:t>£1,000,000</w:t>
            </w:r>
          </w:p>
        </w:tc>
      </w:tr>
      <w:tr w:rsidR="00AC68AD" w:rsidRPr="00E67B03" w14:paraId="62F66D74"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935A324" w14:textId="77777777" w:rsidR="00AC68AD" w:rsidRPr="00E67B03" w:rsidRDefault="00AC68AD" w:rsidP="00FD3385">
            <w:pPr>
              <w:jc w:val="center"/>
              <w:rPr>
                <w:b/>
                <w:sz w:val="16"/>
                <w:szCs w:val="16"/>
              </w:rPr>
            </w:pPr>
            <w:r w:rsidRPr="00E67B03">
              <w:rPr>
                <w:b/>
                <w:sz w:val="16"/>
                <w:szCs w:val="16"/>
              </w:rPr>
              <w:t>CHF I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07EE8"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64444"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385B986"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14D6"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BCB1057" w14:textId="77777777" w:rsidR="00AC68AD" w:rsidRPr="00E67B03" w:rsidRDefault="00AC68AD" w:rsidP="00FD3385">
            <w:pPr>
              <w:jc w:val="center"/>
              <w:rPr>
                <w:sz w:val="16"/>
                <w:szCs w:val="16"/>
              </w:rPr>
            </w:pPr>
            <w:r w:rsidRPr="00E67B03">
              <w:rPr>
                <w:sz w:val="16"/>
                <w:szCs w:val="16"/>
              </w:rPr>
              <w:t>CHF 1,000,000</w:t>
            </w:r>
          </w:p>
        </w:tc>
        <w:tc>
          <w:tcPr>
            <w:tcW w:w="1698" w:type="dxa"/>
            <w:tcBorders>
              <w:top w:val="single" w:sz="4" w:space="0" w:color="auto"/>
              <w:left w:val="single" w:sz="4" w:space="0" w:color="auto"/>
              <w:bottom w:val="single" w:sz="4" w:space="0" w:color="auto"/>
            </w:tcBorders>
          </w:tcPr>
          <w:p w14:paraId="083E8EBC" w14:textId="77777777" w:rsidR="00AC68AD" w:rsidRPr="00E67B03" w:rsidRDefault="00AC68AD" w:rsidP="00FD3385">
            <w:pPr>
              <w:jc w:val="center"/>
              <w:rPr>
                <w:sz w:val="16"/>
                <w:szCs w:val="16"/>
              </w:rPr>
            </w:pPr>
            <w:r w:rsidRPr="00E67B03">
              <w:rPr>
                <w:sz w:val="16"/>
                <w:szCs w:val="16"/>
              </w:rPr>
              <w:t>CHF 1,000,000</w:t>
            </w:r>
          </w:p>
        </w:tc>
      </w:tr>
      <w:tr w:rsidR="00AC68AD" w:rsidRPr="00E67B03" w14:paraId="4417BD9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22D1ECF5" w14:textId="77777777" w:rsidR="00AC68AD" w:rsidRPr="00E67B03" w:rsidRDefault="00AC68AD" w:rsidP="00FD3385">
            <w:pPr>
              <w:jc w:val="center"/>
              <w:rPr>
                <w:b/>
                <w:sz w:val="16"/>
                <w:szCs w:val="16"/>
              </w:rPr>
            </w:pPr>
            <w:r w:rsidRPr="00E67B03">
              <w:rPr>
                <w:b/>
                <w:sz w:val="16"/>
                <w:szCs w:val="16"/>
              </w:rPr>
              <w:t>USD I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C4978"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FBD63"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684162B1"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41770"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13B3F630" w14:textId="77777777" w:rsidR="00AC68AD" w:rsidRPr="00E67B03" w:rsidRDefault="00AC68AD" w:rsidP="00FD3385">
            <w:pPr>
              <w:jc w:val="center"/>
              <w:rPr>
                <w:sz w:val="16"/>
                <w:szCs w:val="16"/>
              </w:rPr>
            </w:pPr>
            <w:r w:rsidRPr="00E67B03">
              <w:rPr>
                <w:sz w:val="16"/>
                <w:szCs w:val="16"/>
              </w:rPr>
              <w:t>$1,000,000</w:t>
            </w:r>
          </w:p>
        </w:tc>
        <w:tc>
          <w:tcPr>
            <w:tcW w:w="1698" w:type="dxa"/>
            <w:tcBorders>
              <w:top w:val="single" w:sz="4" w:space="0" w:color="auto"/>
              <w:left w:val="single" w:sz="4" w:space="0" w:color="auto"/>
              <w:bottom w:val="single" w:sz="4" w:space="0" w:color="auto"/>
            </w:tcBorders>
          </w:tcPr>
          <w:p w14:paraId="79F84263" w14:textId="77777777" w:rsidR="00AC68AD" w:rsidRPr="00E67B03" w:rsidRDefault="00AC68AD" w:rsidP="00FD3385">
            <w:pPr>
              <w:jc w:val="center"/>
              <w:rPr>
                <w:sz w:val="16"/>
                <w:szCs w:val="16"/>
              </w:rPr>
            </w:pPr>
            <w:r w:rsidRPr="00E67B03">
              <w:rPr>
                <w:sz w:val="16"/>
                <w:szCs w:val="16"/>
              </w:rPr>
              <w:t>$1,000,000</w:t>
            </w:r>
          </w:p>
        </w:tc>
      </w:tr>
      <w:tr w:rsidR="00AC68AD" w:rsidRPr="00E67B03" w14:paraId="47E6745B"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57C60A1" w14:textId="774FEAE2" w:rsidR="00AC68AD" w:rsidRPr="008B0F98" w:rsidRDefault="00AC68AD" w:rsidP="00FD3385">
            <w:pPr>
              <w:jc w:val="center"/>
              <w:rPr>
                <w:b/>
                <w:bCs/>
                <w:sz w:val="16"/>
                <w:szCs w:val="16"/>
              </w:rPr>
            </w:pPr>
            <w:r w:rsidRPr="008B0F98">
              <w:rPr>
                <w:b/>
                <w:bCs/>
                <w:sz w:val="16"/>
                <w:szCs w:val="16"/>
              </w:rPr>
              <w:t>AUD I</w:t>
            </w:r>
          </w:p>
          <w:p w14:paraId="0E6763FE" w14:textId="6F93F9B9" w:rsidR="00AC68AD" w:rsidRPr="00E67B03" w:rsidRDefault="00AC68AD" w:rsidP="00FD3385">
            <w:pPr>
              <w:jc w:val="center"/>
              <w:rPr>
                <w:b/>
                <w:sz w:val="16"/>
                <w:szCs w:val="16"/>
              </w:rPr>
            </w:pPr>
            <w:r w:rsidRPr="008B0F98">
              <w:rPr>
                <w:b/>
                <w:bCs/>
                <w:sz w:val="16"/>
                <w:szCs w:val="16"/>
              </w:rPr>
              <w:t>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3CD85" w14:textId="1AE01264" w:rsidR="00AC68AD" w:rsidRPr="00E67B03" w:rsidRDefault="00AC68AD" w:rsidP="00FD3385">
            <w:pPr>
              <w:jc w:val="center"/>
              <w:rPr>
                <w:sz w:val="16"/>
                <w:szCs w:val="16"/>
              </w:rPr>
            </w:pPr>
            <w:r w:rsidRPr="00E060C3">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88B3D" w14:textId="3E82CBB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13C25C25" w14:textId="0C1F32EE"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C362" w14:textId="0609BC11"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F3550D1" w14:textId="456F4800" w:rsidR="00AC68AD" w:rsidRPr="00E67B03" w:rsidRDefault="00AC68AD" w:rsidP="00AC68AD">
            <w:pPr>
              <w:jc w:val="center"/>
              <w:rPr>
                <w:sz w:val="16"/>
                <w:szCs w:val="16"/>
              </w:rPr>
            </w:pPr>
            <w:r>
              <w:rPr>
                <w:sz w:val="16"/>
                <w:szCs w:val="16"/>
              </w:rPr>
              <w:t xml:space="preserve">AUD </w:t>
            </w:r>
            <w:r w:rsidRPr="00E67B03">
              <w:rPr>
                <w:sz w:val="16"/>
                <w:szCs w:val="16"/>
              </w:rPr>
              <w:t>1,000,000</w:t>
            </w:r>
          </w:p>
        </w:tc>
        <w:tc>
          <w:tcPr>
            <w:tcW w:w="1698" w:type="dxa"/>
            <w:tcBorders>
              <w:top w:val="single" w:sz="4" w:space="0" w:color="auto"/>
              <w:left w:val="single" w:sz="4" w:space="0" w:color="auto"/>
              <w:bottom w:val="single" w:sz="4" w:space="0" w:color="auto"/>
            </w:tcBorders>
          </w:tcPr>
          <w:p w14:paraId="4B6A4BB0" w14:textId="64E55ED3" w:rsidR="00AC68AD" w:rsidRPr="00E67B03" w:rsidRDefault="00AC68AD" w:rsidP="00AC68AD">
            <w:pPr>
              <w:jc w:val="center"/>
              <w:rPr>
                <w:sz w:val="16"/>
                <w:szCs w:val="16"/>
              </w:rPr>
            </w:pPr>
            <w:r>
              <w:rPr>
                <w:sz w:val="16"/>
                <w:szCs w:val="16"/>
              </w:rPr>
              <w:t xml:space="preserve">AUD </w:t>
            </w:r>
            <w:r w:rsidRPr="00E67B03">
              <w:rPr>
                <w:sz w:val="16"/>
                <w:szCs w:val="16"/>
              </w:rPr>
              <w:t>1,000,000</w:t>
            </w:r>
          </w:p>
        </w:tc>
      </w:tr>
      <w:tr w:rsidR="00FB7968" w:rsidRPr="00E67B03" w14:paraId="35898BFE" w14:textId="77777777" w:rsidTr="004F2756">
        <w:trPr>
          <w:trHeight w:val="325"/>
        </w:trPr>
        <w:tc>
          <w:tcPr>
            <w:tcW w:w="9351" w:type="dxa"/>
            <w:gridSpan w:val="7"/>
            <w:tcBorders>
              <w:top w:val="single" w:sz="4" w:space="0" w:color="auto"/>
              <w:bottom w:val="single" w:sz="4" w:space="0" w:color="auto"/>
            </w:tcBorders>
            <w:tcMar>
              <w:top w:w="0" w:type="dxa"/>
              <w:left w:w="108" w:type="dxa"/>
              <w:bottom w:w="0" w:type="dxa"/>
              <w:right w:w="108" w:type="dxa"/>
            </w:tcMar>
          </w:tcPr>
          <w:p w14:paraId="5FBB7522" w14:textId="235A6450" w:rsidR="00FB7968" w:rsidRPr="00FB7968" w:rsidRDefault="00FB7968" w:rsidP="00FD3385">
            <w:pPr>
              <w:jc w:val="center"/>
              <w:rPr>
                <w:b/>
                <w:sz w:val="16"/>
                <w:szCs w:val="16"/>
              </w:rPr>
            </w:pPr>
            <w:r>
              <w:rPr>
                <w:b/>
                <w:sz w:val="16"/>
                <w:szCs w:val="16"/>
              </w:rPr>
              <w:t>Performance Fee Classes</w:t>
            </w:r>
          </w:p>
        </w:tc>
      </w:tr>
      <w:tr w:rsidR="00AC68AD" w:rsidRPr="00E67B03" w14:paraId="2ED0FCE4"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190F9C0C" w14:textId="77777777" w:rsidR="00AC68AD" w:rsidRPr="00E67B03" w:rsidRDefault="00AC68AD" w:rsidP="00FD3385">
            <w:pPr>
              <w:jc w:val="center"/>
              <w:rPr>
                <w:b/>
                <w:sz w:val="16"/>
                <w:szCs w:val="16"/>
              </w:rPr>
            </w:pPr>
            <w:r w:rsidRPr="00E67B03">
              <w:rPr>
                <w:b/>
                <w:sz w:val="16"/>
                <w:szCs w:val="16"/>
              </w:rPr>
              <w:t>EUR P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3B80"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C690C"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0586C129"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D0688" w14:textId="6D8AF0AF"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11E05192"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65A6106C" w14:textId="77777777" w:rsidR="00AC68AD" w:rsidRPr="00E67B03" w:rsidRDefault="00AC68AD" w:rsidP="00FD3385">
            <w:pPr>
              <w:jc w:val="center"/>
              <w:rPr>
                <w:sz w:val="16"/>
                <w:szCs w:val="16"/>
              </w:rPr>
            </w:pPr>
            <w:r w:rsidRPr="00E67B03">
              <w:rPr>
                <w:sz w:val="16"/>
                <w:szCs w:val="16"/>
              </w:rPr>
              <w:t>€50,000</w:t>
            </w:r>
          </w:p>
        </w:tc>
      </w:tr>
      <w:tr w:rsidR="00AC68AD" w:rsidRPr="00E67B03" w14:paraId="5C746633"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228281C2" w14:textId="77777777" w:rsidR="00AC68AD" w:rsidRPr="00E67B03" w:rsidRDefault="00AC68AD" w:rsidP="00FD3385">
            <w:pPr>
              <w:jc w:val="center"/>
              <w:rPr>
                <w:b/>
                <w:sz w:val="16"/>
                <w:szCs w:val="16"/>
              </w:rPr>
            </w:pPr>
            <w:r w:rsidRPr="00E67B03">
              <w:rPr>
                <w:b/>
                <w:sz w:val="16"/>
                <w:szCs w:val="16"/>
              </w:rPr>
              <w:lastRenderedPageBreak/>
              <w:t>GBP P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BB88"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E4E97"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20F9CCE0"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574EF" w14:textId="6E2A0001"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FD3BA35"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589B64BC" w14:textId="77777777" w:rsidR="00AC68AD" w:rsidRPr="00E67B03" w:rsidRDefault="00AC68AD" w:rsidP="00FD3385">
            <w:pPr>
              <w:jc w:val="center"/>
              <w:rPr>
                <w:sz w:val="16"/>
                <w:szCs w:val="16"/>
              </w:rPr>
            </w:pPr>
            <w:r w:rsidRPr="00E67B03">
              <w:rPr>
                <w:sz w:val="16"/>
                <w:szCs w:val="16"/>
              </w:rPr>
              <w:t>£50,000</w:t>
            </w:r>
          </w:p>
        </w:tc>
      </w:tr>
      <w:tr w:rsidR="00AC68AD" w:rsidRPr="00E67B03" w14:paraId="3099389E"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78818D90" w14:textId="77777777" w:rsidR="00AC68AD" w:rsidRPr="00E67B03" w:rsidRDefault="00AC68AD" w:rsidP="00FD3385">
            <w:pPr>
              <w:jc w:val="center"/>
              <w:rPr>
                <w:b/>
                <w:sz w:val="16"/>
                <w:szCs w:val="16"/>
              </w:rPr>
            </w:pPr>
            <w:r w:rsidRPr="00E67B03">
              <w:rPr>
                <w:b/>
                <w:sz w:val="16"/>
                <w:szCs w:val="16"/>
              </w:rPr>
              <w:t>CHF P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C1C1"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32C6C"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72EC031F"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0BEEF" w14:textId="5FE12487"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5E9CEA2" w14:textId="77777777" w:rsidR="00AC68AD" w:rsidRPr="00E67B03" w:rsidRDefault="00AC68AD" w:rsidP="00FD3385">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35A907B3" w14:textId="77777777" w:rsidR="00AC68AD" w:rsidRPr="00E67B03" w:rsidRDefault="00AC68AD" w:rsidP="00FD3385">
            <w:pPr>
              <w:jc w:val="center"/>
              <w:rPr>
                <w:sz w:val="16"/>
                <w:szCs w:val="16"/>
              </w:rPr>
            </w:pPr>
            <w:r w:rsidRPr="00E67B03">
              <w:rPr>
                <w:sz w:val="16"/>
                <w:szCs w:val="16"/>
              </w:rPr>
              <w:t>CHF 50,000</w:t>
            </w:r>
          </w:p>
        </w:tc>
      </w:tr>
      <w:tr w:rsidR="00AC68AD" w:rsidRPr="00E67B03" w14:paraId="17DD0892"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11DD008" w14:textId="77777777" w:rsidR="00AC68AD" w:rsidRPr="00E67B03" w:rsidRDefault="00AC68AD" w:rsidP="00FD3385">
            <w:pPr>
              <w:jc w:val="center"/>
              <w:rPr>
                <w:b/>
                <w:sz w:val="16"/>
                <w:szCs w:val="16"/>
              </w:rPr>
            </w:pPr>
            <w:r w:rsidRPr="00E67B03">
              <w:rPr>
                <w:b/>
                <w:sz w:val="16"/>
                <w:szCs w:val="16"/>
              </w:rPr>
              <w:t>USD P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27315"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DB22B"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0CD8FEAE"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F11C7" w14:textId="3C084651"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64A04D2"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60A793C6" w14:textId="77777777" w:rsidR="00AC68AD" w:rsidRPr="00E67B03" w:rsidRDefault="00AC68AD" w:rsidP="00FD3385">
            <w:pPr>
              <w:jc w:val="center"/>
              <w:rPr>
                <w:sz w:val="16"/>
                <w:szCs w:val="16"/>
              </w:rPr>
            </w:pPr>
            <w:r w:rsidRPr="00E67B03">
              <w:rPr>
                <w:sz w:val="16"/>
                <w:szCs w:val="16"/>
              </w:rPr>
              <w:t>$50,000</w:t>
            </w:r>
          </w:p>
        </w:tc>
      </w:tr>
      <w:tr w:rsidR="00AC68AD" w:rsidRPr="00E67B03" w14:paraId="1270FAB2"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459407AA" w14:textId="27F09411" w:rsidR="00AC68AD" w:rsidRPr="00E060C3" w:rsidRDefault="00AC68AD" w:rsidP="00FD3385">
            <w:pPr>
              <w:jc w:val="center"/>
              <w:rPr>
                <w:b/>
                <w:bCs/>
                <w:sz w:val="16"/>
                <w:szCs w:val="16"/>
              </w:rPr>
            </w:pPr>
            <w:r w:rsidRPr="00E060C3">
              <w:rPr>
                <w:b/>
                <w:bCs/>
                <w:sz w:val="16"/>
                <w:szCs w:val="16"/>
              </w:rPr>
              <w:t xml:space="preserve">AUD </w:t>
            </w:r>
            <w:r>
              <w:rPr>
                <w:b/>
                <w:bCs/>
                <w:sz w:val="16"/>
                <w:szCs w:val="16"/>
              </w:rPr>
              <w:t>P</w:t>
            </w:r>
          </w:p>
          <w:p w14:paraId="576C0809" w14:textId="5AF6E052" w:rsidR="00AC68AD" w:rsidRPr="00E67B03" w:rsidRDefault="00AC68AD" w:rsidP="00FD3385">
            <w:pPr>
              <w:jc w:val="center"/>
              <w:rPr>
                <w:b/>
                <w:sz w:val="16"/>
                <w:szCs w:val="16"/>
              </w:rPr>
            </w:pPr>
            <w:r w:rsidRPr="00E060C3">
              <w:rPr>
                <w:b/>
                <w:bCs/>
                <w:sz w:val="16"/>
                <w:szCs w:val="16"/>
              </w:rPr>
              <w:t>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2A18" w14:textId="4C088247" w:rsidR="00AC68AD" w:rsidRPr="00E67B03" w:rsidRDefault="00AC68AD" w:rsidP="00FD3385">
            <w:pPr>
              <w:jc w:val="center"/>
              <w:rPr>
                <w:sz w:val="16"/>
                <w:szCs w:val="16"/>
              </w:rPr>
            </w:pPr>
            <w:r w:rsidRPr="00E060C3">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3BFE" w14:textId="66653164"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4F7F4BC6" w14:textId="5324ABB5"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AD63A" w14:textId="1DF1E364"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26494D1B" w14:textId="5FC6D62A" w:rsidR="00AC68AD" w:rsidRPr="00E67B03" w:rsidRDefault="00AC68AD" w:rsidP="00FD3385">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651FDD12" w14:textId="62409FCF" w:rsidR="00AC68AD" w:rsidRPr="00E67B03" w:rsidRDefault="00AC68AD" w:rsidP="00FD3385">
            <w:pPr>
              <w:jc w:val="center"/>
              <w:rPr>
                <w:sz w:val="16"/>
                <w:szCs w:val="16"/>
              </w:rPr>
            </w:pPr>
            <w:r>
              <w:rPr>
                <w:sz w:val="16"/>
                <w:szCs w:val="16"/>
              </w:rPr>
              <w:t>AUD</w:t>
            </w:r>
            <w:r w:rsidRPr="00E67B03">
              <w:rPr>
                <w:sz w:val="16"/>
                <w:szCs w:val="16"/>
              </w:rPr>
              <w:t>50,000</w:t>
            </w:r>
          </w:p>
        </w:tc>
      </w:tr>
      <w:tr w:rsidR="00463A4D" w:rsidRPr="00E67B03" w14:paraId="01BED6D0" w14:textId="77777777" w:rsidTr="004F2756">
        <w:trPr>
          <w:trHeight w:val="380"/>
        </w:trPr>
        <w:tc>
          <w:tcPr>
            <w:tcW w:w="9351" w:type="dxa"/>
            <w:gridSpan w:val="7"/>
            <w:tcBorders>
              <w:top w:val="single" w:sz="4" w:space="0" w:color="auto"/>
              <w:bottom w:val="single" w:sz="4" w:space="0" w:color="auto"/>
            </w:tcBorders>
            <w:tcMar>
              <w:top w:w="0" w:type="dxa"/>
              <w:left w:w="108" w:type="dxa"/>
              <w:bottom w:w="0" w:type="dxa"/>
              <w:right w:w="108" w:type="dxa"/>
            </w:tcMar>
          </w:tcPr>
          <w:p w14:paraId="0773D4FE" w14:textId="6D32CABC" w:rsidR="00463A4D" w:rsidRPr="00463A4D" w:rsidRDefault="00463A4D" w:rsidP="00FD3385">
            <w:pPr>
              <w:jc w:val="center"/>
              <w:rPr>
                <w:b/>
                <w:sz w:val="16"/>
                <w:szCs w:val="16"/>
              </w:rPr>
            </w:pPr>
            <w:r w:rsidRPr="00463A4D">
              <w:rPr>
                <w:b/>
                <w:sz w:val="16"/>
                <w:szCs w:val="16"/>
              </w:rPr>
              <w:t>Retail 1</w:t>
            </w:r>
          </w:p>
        </w:tc>
      </w:tr>
      <w:tr w:rsidR="00AC68AD" w:rsidRPr="00E67B03" w14:paraId="0852A075"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106EFEAD" w14:textId="77777777" w:rsidR="00AC68AD" w:rsidRPr="00E67B03" w:rsidRDefault="00AC68AD" w:rsidP="00FD3385">
            <w:pPr>
              <w:jc w:val="center"/>
              <w:rPr>
                <w:b/>
                <w:sz w:val="16"/>
                <w:szCs w:val="16"/>
              </w:rPr>
            </w:pPr>
            <w:r w:rsidRPr="00E67B03">
              <w:rPr>
                <w:b/>
                <w:sz w:val="16"/>
                <w:szCs w:val="16"/>
              </w:rPr>
              <w:t>EUR R1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CFC81"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81AAD"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6A44F3E" w14:textId="77777777"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0C2AE"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EB98026"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0D762413" w14:textId="77777777" w:rsidR="00AC68AD" w:rsidRPr="00E67B03" w:rsidRDefault="00AC68AD" w:rsidP="00FD3385">
            <w:pPr>
              <w:jc w:val="center"/>
              <w:rPr>
                <w:sz w:val="16"/>
                <w:szCs w:val="16"/>
              </w:rPr>
            </w:pPr>
            <w:r w:rsidRPr="00E67B03">
              <w:rPr>
                <w:sz w:val="16"/>
                <w:szCs w:val="16"/>
              </w:rPr>
              <w:t>€50,000</w:t>
            </w:r>
          </w:p>
        </w:tc>
      </w:tr>
      <w:tr w:rsidR="00AC68AD" w:rsidRPr="00E67B03" w14:paraId="37770884"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4E25AC7" w14:textId="77777777" w:rsidR="00AC68AD" w:rsidRPr="00E67B03" w:rsidRDefault="00AC68AD" w:rsidP="00FD3385">
            <w:pPr>
              <w:jc w:val="center"/>
              <w:rPr>
                <w:b/>
                <w:sz w:val="16"/>
                <w:szCs w:val="16"/>
              </w:rPr>
            </w:pPr>
            <w:r w:rsidRPr="00E67B03">
              <w:rPr>
                <w:b/>
                <w:sz w:val="16"/>
                <w:szCs w:val="16"/>
              </w:rPr>
              <w:t>GBP R1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7FEC"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11C43"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2AF5EDB7" w14:textId="77777777"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1E0"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CC4F14A"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7A695F39" w14:textId="77777777" w:rsidR="00AC68AD" w:rsidRPr="00E67B03" w:rsidRDefault="00AC68AD" w:rsidP="00FD3385">
            <w:pPr>
              <w:jc w:val="center"/>
              <w:rPr>
                <w:sz w:val="16"/>
                <w:szCs w:val="16"/>
              </w:rPr>
            </w:pPr>
            <w:r w:rsidRPr="00E67B03">
              <w:rPr>
                <w:sz w:val="16"/>
                <w:szCs w:val="16"/>
              </w:rPr>
              <w:t>£50,000</w:t>
            </w:r>
          </w:p>
        </w:tc>
      </w:tr>
      <w:tr w:rsidR="00AC68AD" w:rsidRPr="00E67B03" w14:paraId="5846AB8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C8E7EB3" w14:textId="77777777" w:rsidR="00AC68AD" w:rsidRPr="00E67B03" w:rsidRDefault="00AC68AD" w:rsidP="00FD3385">
            <w:pPr>
              <w:jc w:val="center"/>
              <w:rPr>
                <w:b/>
                <w:sz w:val="16"/>
                <w:szCs w:val="16"/>
              </w:rPr>
            </w:pPr>
            <w:r w:rsidRPr="00E67B03">
              <w:rPr>
                <w:b/>
                <w:sz w:val="16"/>
                <w:szCs w:val="16"/>
              </w:rPr>
              <w:t>CHF R1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F958F"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E64B"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4893CB99" w14:textId="77777777"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68C43"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56FE4D1" w14:textId="77777777" w:rsidR="00AC68AD" w:rsidRPr="00E67B03" w:rsidRDefault="00AC68AD" w:rsidP="00FD3385">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40AA1725" w14:textId="77777777" w:rsidR="00AC68AD" w:rsidRPr="00E67B03" w:rsidRDefault="00AC68AD" w:rsidP="00FD3385">
            <w:pPr>
              <w:jc w:val="center"/>
              <w:rPr>
                <w:sz w:val="16"/>
                <w:szCs w:val="16"/>
              </w:rPr>
            </w:pPr>
            <w:r w:rsidRPr="00E67B03">
              <w:rPr>
                <w:sz w:val="16"/>
                <w:szCs w:val="16"/>
              </w:rPr>
              <w:t>CHF 50,000</w:t>
            </w:r>
          </w:p>
        </w:tc>
      </w:tr>
      <w:tr w:rsidR="00AC68AD" w:rsidRPr="00E67B03" w14:paraId="477EFB0D"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2A2F1FA7" w14:textId="77777777" w:rsidR="00AC68AD" w:rsidRPr="00E67B03" w:rsidRDefault="00AC68AD" w:rsidP="00FD3385">
            <w:pPr>
              <w:jc w:val="center"/>
              <w:rPr>
                <w:b/>
                <w:sz w:val="16"/>
                <w:szCs w:val="16"/>
              </w:rPr>
            </w:pPr>
            <w:r w:rsidRPr="00E67B03">
              <w:rPr>
                <w:b/>
                <w:sz w:val="16"/>
                <w:szCs w:val="16"/>
              </w:rPr>
              <w:lastRenderedPageBreak/>
              <w:t>USD R1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19B0"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B3857"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2E5D5273" w14:textId="77777777"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0CE62"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646A5FD0"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5FEAA313" w14:textId="77777777" w:rsidR="00AC68AD" w:rsidRPr="00E67B03" w:rsidRDefault="00AC68AD" w:rsidP="00FD3385">
            <w:pPr>
              <w:jc w:val="center"/>
              <w:rPr>
                <w:sz w:val="16"/>
                <w:szCs w:val="16"/>
              </w:rPr>
            </w:pPr>
            <w:r w:rsidRPr="00E67B03">
              <w:rPr>
                <w:sz w:val="16"/>
                <w:szCs w:val="16"/>
              </w:rPr>
              <w:t>$50,000</w:t>
            </w:r>
          </w:p>
        </w:tc>
      </w:tr>
      <w:tr w:rsidR="00AC68AD" w:rsidRPr="00E67B03" w14:paraId="27A58EC3"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E0B397E" w14:textId="333EB62D" w:rsidR="00AC68AD" w:rsidRPr="00E060C3" w:rsidRDefault="00AC68AD" w:rsidP="00FD3385">
            <w:pPr>
              <w:jc w:val="center"/>
              <w:rPr>
                <w:b/>
                <w:bCs/>
                <w:sz w:val="16"/>
                <w:szCs w:val="16"/>
              </w:rPr>
            </w:pPr>
            <w:r w:rsidRPr="00E060C3">
              <w:rPr>
                <w:b/>
                <w:bCs/>
                <w:sz w:val="16"/>
                <w:szCs w:val="16"/>
              </w:rPr>
              <w:t xml:space="preserve">AUD </w:t>
            </w:r>
            <w:r>
              <w:rPr>
                <w:b/>
                <w:bCs/>
                <w:sz w:val="16"/>
                <w:szCs w:val="16"/>
              </w:rPr>
              <w:t>R1</w:t>
            </w:r>
          </w:p>
          <w:p w14:paraId="53AB12C9" w14:textId="6FA990AE" w:rsidR="00AC68AD" w:rsidRPr="00E67B03" w:rsidRDefault="00AC68AD" w:rsidP="00FD3385">
            <w:pPr>
              <w:jc w:val="center"/>
              <w:rPr>
                <w:b/>
                <w:sz w:val="16"/>
                <w:szCs w:val="16"/>
              </w:rPr>
            </w:pPr>
            <w:r w:rsidRPr="00E060C3">
              <w:rPr>
                <w:b/>
                <w:bCs/>
                <w:sz w:val="16"/>
                <w:szCs w:val="16"/>
              </w:rPr>
              <w:t>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C839B" w14:textId="5720515B" w:rsidR="00AC68AD" w:rsidRPr="00E67B03" w:rsidRDefault="00AC68AD" w:rsidP="00FD3385">
            <w:pPr>
              <w:jc w:val="center"/>
              <w:rPr>
                <w:sz w:val="16"/>
                <w:szCs w:val="16"/>
              </w:rPr>
            </w:pPr>
            <w:r w:rsidRPr="00E060C3">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DA84" w14:textId="79F8AFD9"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61A6CBEC" w14:textId="547F0BE5"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A11FF" w14:textId="28F837F8"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6CC147BD" w14:textId="71741FA0" w:rsidR="00AC68AD" w:rsidRPr="00E67B03" w:rsidRDefault="00AC68AD" w:rsidP="00FD3385">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4DEA1146" w14:textId="190D780F" w:rsidR="00AC68AD" w:rsidRPr="00E67B03" w:rsidRDefault="00AC68AD" w:rsidP="00FD3385">
            <w:pPr>
              <w:jc w:val="center"/>
              <w:rPr>
                <w:sz w:val="16"/>
                <w:szCs w:val="16"/>
              </w:rPr>
            </w:pPr>
            <w:r>
              <w:rPr>
                <w:sz w:val="16"/>
                <w:szCs w:val="16"/>
              </w:rPr>
              <w:t>AUD</w:t>
            </w:r>
            <w:r w:rsidRPr="00E67B03">
              <w:rPr>
                <w:sz w:val="16"/>
                <w:szCs w:val="16"/>
              </w:rPr>
              <w:t>50,000</w:t>
            </w:r>
          </w:p>
        </w:tc>
      </w:tr>
      <w:tr w:rsidR="00FB7968" w:rsidRPr="00E67B03" w14:paraId="48847A8F" w14:textId="77777777" w:rsidTr="004F2756">
        <w:trPr>
          <w:trHeight w:val="378"/>
        </w:trPr>
        <w:tc>
          <w:tcPr>
            <w:tcW w:w="9351" w:type="dxa"/>
            <w:gridSpan w:val="7"/>
            <w:tcBorders>
              <w:top w:val="single" w:sz="4" w:space="0" w:color="auto"/>
              <w:bottom w:val="single" w:sz="4" w:space="0" w:color="auto"/>
            </w:tcBorders>
            <w:tcMar>
              <w:top w:w="0" w:type="dxa"/>
              <w:left w:w="108" w:type="dxa"/>
              <w:bottom w:w="0" w:type="dxa"/>
              <w:right w:w="108" w:type="dxa"/>
            </w:tcMar>
          </w:tcPr>
          <w:p w14:paraId="26633F6A" w14:textId="0C94D672" w:rsidR="00FB7968" w:rsidRPr="00FB7968" w:rsidRDefault="00FB7968" w:rsidP="00FD3385">
            <w:pPr>
              <w:jc w:val="center"/>
              <w:rPr>
                <w:b/>
                <w:sz w:val="16"/>
                <w:szCs w:val="16"/>
              </w:rPr>
            </w:pPr>
            <w:r w:rsidRPr="00FB7968">
              <w:rPr>
                <w:b/>
                <w:sz w:val="16"/>
                <w:szCs w:val="16"/>
              </w:rPr>
              <w:t>Retail 2</w:t>
            </w:r>
          </w:p>
        </w:tc>
      </w:tr>
      <w:tr w:rsidR="00AC68AD" w:rsidRPr="00E67B03" w14:paraId="1629B952"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BBA9B26" w14:textId="77777777" w:rsidR="00AC68AD" w:rsidRPr="00E67B03" w:rsidRDefault="00AC68AD" w:rsidP="00FD3385">
            <w:pPr>
              <w:jc w:val="center"/>
              <w:rPr>
                <w:b/>
                <w:sz w:val="16"/>
                <w:szCs w:val="16"/>
              </w:rPr>
            </w:pPr>
            <w:r w:rsidRPr="00E67B03">
              <w:rPr>
                <w:b/>
                <w:sz w:val="16"/>
                <w:szCs w:val="16"/>
              </w:rPr>
              <w:t>EUR R2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EB0D"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75F4C"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462FB8E1"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47A83"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56CC737"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3923315E" w14:textId="77777777" w:rsidR="00AC68AD" w:rsidRPr="00E67B03" w:rsidRDefault="00AC68AD" w:rsidP="00FD3385">
            <w:pPr>
              <w:jc w:val="center"/>
              <w:rPr>
                <w:sz w:val="16"/>
                <w:szCs w:val="16"/>
              </w:rPr>
            </w:pPr>
            <w:r w:rsidRPr="00E67B03">
              <w:rPr>
                <w:sz w:val="16"/>
                <w:szCs w:val="16"/>
              </w:rPr>
              <w:t>€50,000</w:t>
            </w:r>
          </w:p>
        </w:tc>
      </w:tr>
      <w:tr w:rsidR="00AC68AD" w:rsidRPr="00E67B03" w14:paraId="1D4590CA"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9B72DEB" w14:textId="77777777" w:rsidR="00AC68AD" w:rsidRPr="00E67B03" w:rsidRDefault="00AC68AD" w:rsidP="00FD3385">
            <w:pPr>
              <w:jc w:val="center"/>
              <w:rPr>
                <w:b/>
                <w:sz w:val="16"/>
                <w:szCs w:val="16"/>
              </w:rPr>
            </w:pPr>
            <w:r w:rsidRPr="00E67B03">
              <w:rPr>
                <w:b/>
                <w:sz w:val="16"/>
                <w:szCs w:val="16"/>
              </w:rPr>
              <w:t>GBP R2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973E0"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2B2C"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5E2CE8CF"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C4562"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322EA7EE"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42ED1B85" w14:textId="77777777" w:rsidR="00AC68AD" w:rsidRPr="00E67B03" w:rsidRDefault="00AC68AD" w:rsidP="00FD3385">
            <w:pPr>
              <w:jc w:val="center"/>
              <w:rPr>
                <w:sz w:val="16"/>
                <w:szCs w:val="16"/>
              </w:rPr>
            </w:pPr>
            <w:r w:rsidRPr="00E67B03">
              <w:rPr>
                <w:sz w:val="16"/>
                <w:szCs w:val="16"/>
              </w:rPr>
              <w:t>£50,000</w:t>
            </w:r>
          </w:p>
        </w:tc>
      </w:tr>
      <w:tr w:rsidR="00AC68AD" w:rsidRPr="00E67B03" w14:paraId="2795FECD"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10D05633" w14:textId="77777777" w:rsidR="00AC68AD" w:rsidRPr="00E67B03" w:rsidRDefault="00AC68AD" w:rsidP="00FD3385">
            <w:pPr>
              <w:jc w:val="center"/>
              <w:rPr>
                <w:b/>
                <w:sz w:val="16"/>
                <w:szCs w:val="16"/>
              </w:rPr>
            </w:pPr>
            <w:r w:rsidRPr="00E67B03">
              <w:rPr>
                <w:b/>
                <w:sz w:val="16"/>
                <w:szCs w:val="16"/>
              </w:rPr>
              <w:t>CHF R2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79A93"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E4BFE"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6D060DFC"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37E07"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A168139" w14:textId="77777777" w:rsidR="00AC68AD" w:rsidRPr="00E67B03" w:rsidRDefault="00AC68AD" w:rsidP="00FD3385">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5C6847C4" w14:textId="77777777" w:rsidR="00AC68AD" w:rsidRPr="00E67B03" w:rsidRDefault="00AC68AD" w:rsidP="00FD3385">
            <w:pPr>
              <w:jc w:val="center"/>
              <w:rPr>
                <w:sz w:val="16"/>
                <w:szCs w:val="16"/>
              </w:rPr>
            </w:pPr>
            <w:r w:rsidRPr="00E67B03">
              <w:rPr>
                <w:sz w:val="16"/>
                <w:szCs w:val="16"/>
              </w:rPr>
              <w:t>CHF 50,000</w:t>
            </w:r>
          </w:p>
        </w:tc>
      </w:tr>
      <w:tr w:rsidR="00AC68AD" w:rsidRPr="00E67B03" w14:paraId="5CAA56A8"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405CB4B9" w14:textId="77777777" w:rsidR="00AC68AD" w:rsidRPr="00E67B03" w:rsidRDefault="00AC68AD" w:rsidP="00FD3385">
            <w:pPr>
              <w:jc w:val="center"/>
              <w:rPr>
                <w:b/>
                <w:sz w:val="16"/>
                <w:szCs w:val="16"/>
              </w:rPr>
            </w:pPr>
            <w:r w:rsidRPr="00E67B03">
              <w:rPr>
                <w:b/>
                <w:sz w:val="16"/>
                <w:szCs w:val="16"/>
              </w:rPr>
              <w:t>USD R2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DE42A"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324DA"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6CB97BBC"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CD283"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26B49EC5"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7A3BA15D" w14:textId="77777777" w:rsidR="00AC68AD" w:rsidRPr="00E67B03" w:rsidRDefault="00AC68AD" w:rsidP="00FD3385">
            <w:pPr>
              <w:jc w:val="center"/>
              <w:rPr>
                <w:sz w:val="16"/>
                <w:szCs w:val="16"/>
              </w:rPr>
            </w:pPr>
            <w:r w:rsidRPr="00E67B03">
              <w:rPr>
                <w:sz w:val="16"/>
                <w:szCs w:val="16"/>
              </w:rPr>
              <w:t>$50,000</w:t>
            </w:r>
          </w:p>
        </w:tc>
      </w:tr>
      <w:tr w:rsidR="00AC68AD" w:rsidRPr="00E67B03" w14:paraId="1DF654EF"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2F09A00F" w14:textId="19519149" w:rsidR="00AC68AD" w:rsidRPr="00E060C3" w:rsidRDefault="00AC68AD" w:rsidP="00FD3385">
            <w:pPr>
              <w:jc w:val="center"/>
              <w:rPr>
                <w:b/>
                <w:bCs/>
                <w:sz w:val="16"/>
                <w:szCs w:val="16"/>
              </w:rPr>
            </w:pPr>
            <w:r w:rsidRPr="00E060C3">
              <w:rPr>
                <w:b/>
                <w:bCs/>
                <w:sz w:val="16"/>
                <w:szCs w:val="16"/>
              </w:rPr>
              <w:t xml:space="preserve">AUD </w:t>
            </w:r>
            <w:r>
              <w:rPr>
                <w:b/>
                <w:bCs/>
                <w:sz w:val="16"/>
                <w:szCs w:val="16"/>
              </w:rPr>
              <w:t>R2</w:t>
            </w:r>
          </w:p>
          <w:p w14:paraId="4A790627" w14:textId="1F4E1B05" w:rsidR="00AC68AD" w:rsidRPr="00E67B03" w:rsidRDefault="00AC68AD" w:rsidP="00FD3385">
            <w:pPr>
              <w:jc w:val="center"/>
              <w:rPr>
                <w:b/>
                <w:sz w:val="16"/>
                <w:szCs w:val="16"/>
              </w:rPr>
            </w:pPr>
            <w:r w:rsidRPr="00E060C3">
              <w:rPr>
                <w:b/>
                <w:bCs/>
                <w:sz w:val="16"/>
                <w:szCs w:val="16"/>
              </w:rPr>
              <w:t>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DCB6" w14:textId="126F51CE" w:rsidR="00AC68AD" w:rsidRPr="00E67B03" w:rsidRDefault="00AC68AD" w:rsidP="00FD3385">
            <w:pPr>
              <w:jc w:val="center"/>
              <w:rPr>
                <w:sz w:val="16"/>
                <w:szCs w:val="16"/>
              </w:rPr>
            </w:pPr>
            <w:r w:rsidRPr="00E060C3">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EB541" w14:textId="0F4FFC88"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755C62B8" w14:textId="0A9796B2"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41118" w14:textId="747CE15C"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7250C76B" w14:textId="3DE8B1BD" w:rsidR="00AC68AD" w:rsidRPr="00E67B03" w:rsidRDefault="00AC68AD" w:rsidP="00FD3385">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1FFF3DE6" w14:textId="089E1CA7" w:rsidR="00AC68AD" w:rsidRPr="00E67B03" w:rsidRDefault="00AC68AD" w:rsidP="00FD3385">
            <w:pPr>
              <w:jc w:val="center"/>
              <w:rPr>
                <w:sz w:val="16"/>
                <w:szCs w:val="16"/>
              </w:rPr>
            </w:pPr>
            <w:r>
              <w:rPr>
                <w:sz w:val="16"/>
                <w:szCs w:val="16"/>
              </w:rPr>
              <w:t>AUD</w:t>
            </w:r>
            <w:r w:rsidRPr="00E67B03">
              <w:rPr>
                <w:sz w:val="16"/>
                <w:szCs w:val="16"/>
              </w:rPr>
              <w:t>50,000</w:t>
            </w:r>
          </w:p>
        </w:tc>
      </w:tr>
      <w:tr w:rsidR="00FB7968" w:rsidRPr="00E67B03" w14:paraId="3A6ECFF4" w14:textId="77777777" w:rsidTr="004F2756">
        <w:trPr>
          <w:trHeight w:val="431"/>
        </w:trPr>
        <w:tc>
          <w:tcPr>
            <w:tcW w:w="9351" w:type="dxa"/>
            <w:gridSpan w:val="7"/>
            <w:tcBorders>
              <w:top w:val="single" w:sz="4" w:space="0" w:color="auto"/>
              <w:bottom w:val="single" w:sz="4" w:space="0" w:color="auto"/>
            </w:tcBorders>
            <w:tcMar>
              <w:top w:w="0" w:type="dxa"/>
              <w:left w:w="108" w:type="dxa"/>
              <w:bottom w:w="0" w:type="dxa"/>
              <w:right w:w="108" w:type="dxa"/>
            </w:tcMar>
          </w:tcPr>
          <w:p w14:paraId="296247F2" w14:textId="213B300C" w:rsidR="00FB7968" w:rsidRPr="00FB7968" w:rsidRDefault="00FB7968" w:rsidP="00FD3385">
            <w:pPr>
              <w:jc w:val="center"/>
              <w:rPr>
                <w:b/>
                <w:sz w:val="16"/>
                <w:szCs w:val="16"/>
              </w:rPr>
            </w:pPr>
            <w:r w:rsidRPr="00FB7968">
              <w:rPr>
                <w:b/>
                <w:sz w:val="16"/>
                <w:szCs w:val="16"/>
              </w:rPr>
              <w:t>Retail 3</w:t>
            </w:r>
          </w:p>
        </w:tc>
      </w:tr>
      <w:tr w:rsidR="00AC68AD" w:rsidRPr="00E67B03" w14:paraId="4EFBFE48"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129F1203" w14:textId="77777777" w:rsidR="00AC68AD" w:rsidRPr="00E67B03" w:rsidRDefault="00AC68AD" w:rsidP="00FD3385">
            <w:pPr>
              <w:jc w:val="center"/>
              <w:rPr>
                <w:b/>
                <w:sz w:val="16"/>
                <w:szCs w:val="16"/>
              </w:rPr>
            </w:pPr>
            <w:r>
              <w:rPr>
                <w:b/>
                <w:sz w:val="16"/>
                <w:szCs w:val="16"/>
              </w:rPr>
              <w:lastRenderedPageBreak/>
              <w:t xml:space="preserve">EUR R3 </w:t>
            </w:r>
            <w:r w:rsidRPr="00E67B03">
              <w:rPr>
                <w:b/>
                <w:sz w:val="16"/>
                <w:szCs w:val="16"/>
              </w:rPr>
              <w:t>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2B07D"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4D1E7"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29E5861A"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65E99"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3D77F48A"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3DED2D9F" w14:textId="77777777" w:rsidR="00AC68AD" w:rsidRPr="00E67B03" w:rsidRDefault="00AC68AD" w:rsidP="00FD3385">
            <w:pPr>
              <w:jc w:val="center"/>
              <w:rPr>
                <w:sz w:val="16"/>
                <w:szCs w:val="16"/>
              </w:rPr>
            </w:pPr>
            <w:r w:rsidRPr="00E67B03">
              <w:rPr>
                <w:sz w:val="16"/>
                <w:szCs w:val="16"/>
              </w:rPr>
              <w:t>€50,000</w:t>
            </w:r>
          </w:p>
        </w:tc>
      </w:tr>
      <w:tr w:rsidR="00AC68AD" w:rsidRPr="00E67B03" w14:paraId="60083747"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45701F9" w14:textId="77777777" w:rsidR="00AC68AD" w:rsidRPr="00E67B03" w:rsidRDefault="00AC68AD" w:rsidP="00FD3385">
            <w:pPr>
              <w:jc w:val="center"/>
              <w:rPr>
                <w:b/>
                <w:sz w:val="16"/>
                <w:szCs w:val="16"/>
              </w:rPr>
            </w:pPr>
            <w:r>
              <w:rPr>
                <w:b/>
                <w:sz w:val="16"/>
                <w:szCs w:val="16"/>
              </w:rPr>
              <w:t>GBP R3</w:t>
            </w:r>
            <w:r w:rsidRPr="00E67B03">
              <w:rPr>
                <w:b/>
                <w:sz w:val="16"/>
                <w:szCs w:val="16"/>
              </w:rPr>
              <w:t xml:space="preserve">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383EE"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04678"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43DC26F6"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F87A4"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7937FB0"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40964600" w14:textId="77777777" w:rsidR="00AC68AD" w:rsidRPr="00E67B03" w:rsidRDefault="00AC68AD" w:rsidP="00FD3385">
            <w:pPr>
              <w:jc w:val="center"/>
              <w:rPr>
                <w:sz w:val="16"/>
                <w:szCs w:val="16"/>
              </w:rPr>
            </w:pPr>
            <w:r w:rsidRPr="00E67B03">
              <w:rPr>
                <w:sz w:val="16"/>
                <w:szCs w:val="16"/>
              </w:rPr>
              <w:t>£50,000</w:t>
            </w:r>
          </w:p>
        </w:tc>
      </w:tr>
      <w:tr w:rsidR="00AC68AD" w:rsidRPr="00E67B03" w14:paraId="26F4CE80"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63D915C" w14:textId="77777777" w:rsidR="00AC68AD" w:rsidRPr="00E67B03" w:rsidRDefault="00AC68AD" w:rsidP="00FD3385">
            <w:pPr>
              <w:jc w:val="center"/>
              <w:rPr>
                <w:b/>
                <w:sz w:val="16"/>
                <w:szCs w:val="16"/>
              </w:rPr>
            </w:pPr>
            <w:r>
              <w:rPr>
                <w:b/>
                <w:sz w:val="16"/>
                <w:szCs w:val="16"/>
              </w:rPr>
              <w:t xml:space="preserve">CHF R3 </w:t>
            </w:r>
            <w:r w:rsidRPr="00E67B03">
              <w:rPr>
                <w:b/>
                <w:sz w:val="16"/>
                <w:szCs w:val="16"/>
              </w:rPr>
              <w:t>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E45D8"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489C1"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44A57898"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04400"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A0D733D" w14:textId="77777777" w:rsidR="00AC68AD" w:rsidRPr="00E67B03" w:rsidRDefault="00AC68AD" w:rsidP="00FD3385">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510AD0B0" w14:textId="77777777" w:rsidR="00AC68AD" w:rsidRPr="00E67B03" w:rsidRDefault="00AC68AD" w:rsidP="00FD3385">
            <w:pPr>
              <w:jc w:val="center"/>
              <w:rPr>
                <w:sz w:val="16"/>
                <w:szCs w:val="16"/>
              </w:rPr>
            </w:pPr>
            <w:r w:rsidRPr="00E67B03">
              <w:rPr>
                <w:sz w:val="16"/>
                <w:szCs w:val="16"/>
              </w:rPr>
              <w:t>CHF 50,000</w:t>
            </w:r>
          </w:p>
        </w:tc>
      </w:tr>
      <w:tr w:rsidR="00AC68AD" w:rsidRPr="00E67B03" w14:paraId="2E5754CC"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18A2C0D2" w14:textId="77777777" w:rsidR="00AC68AD" w:rsidRPr="00E67B03" w:rsidRDefault="00AC68AD" w:rsidP="00FD3385">
            <w:pPr>
              <w:jc w:val="center"/>
              <w:rPr>
                <w:b/>
                <w:sz w:val="16"/>
                <w:szCs w:val="16"/>
              </w:rPr>
            </w:pPr>
            <w:r>
              <w:rPr>
                <w:b/>
                <w:sz w:val="16"/>
                <w:szCs w:val="16"/>
              </w:rPr>
              <w:t>USD R3</w:t>
            </w:r>
            <w:r w:rsidRPr="00E67B03">
              <w:rPr>
                <w:b/>
                <w:sz w:val="16"/>
                <w:szCs w:val="16"/>
              </w:rPr>
              <w:t xml:space="preserve">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BF43C"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11B69" w14:textId="77777777" w:rsidR="00AC68AD" w:rsidRPr="00E67B03" w:rsidRDefault="00AC68AD" w:rsidP="00FD3385">
            <w:pPr>
              <w:jc w:val="center"/>
              <w:rPr>
                <w:sz w:val="16"/>
                <w:szCs w:val="16"/>
              </w:rPr>
            </w:pPr>
            <w:r w:rsidRPr="00E67B03">
              <w:rPr>
                <w:sz w:val="16"/>
                <w:szCs w:val="16"/>
              </w:rPr>
              <w:t>Up to 1.50%of NAV per annum</w:t>
            </w:r>
          </w:p>
        </w:tc>
        <w:tc>
          <w:tcPr>
            <w:tcW w:w="1135" w:type="dxa"/>
            <w:tcBorders>
              <w:top w:val="single" w:sz="4" w:space="0" w:color="auto"/>
              <w:left w:val="single" w:sz="4" w:space="0" w:color="auto"/>
              <w:bottom w:val="single" w:sz="4" w:space="0" w:color="auto"/>
              <w:right w:val="single" w:sz="4" w:space="0" w:color="auto"/>
            </w:tcBorders>
          </w:tcPr>
          <w:p w14:paraId="2F955D58"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AB66A"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1A4B1E3"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36491FD7" w14:textId="77777777" w:rsidR="00AC68AD" w:rsidRPr="00E67B03" w:rsidRDefault="00AC68AD" w:rsidP="00FD3385">
            <w:pPr>
              <w:jc w:val="center"/>
              <w:rPr>
                <w:sz w:val="16"/>
                <w:szCs w:val="16"/>
              </w:rPr>
            </w:pPr>
            <w:r w:rsidRPr="00E67B03">
              <w:rPr>
                <w:sz w:val="16"/>
                <w:szCs w:val="16"/>
              </w:rPr>
              <w:t>$50,000</w:t>
            </w:r>
          </w:p>
        </w:tc>
      </w:tr>
      <w:tr w:rsidR="00AC68AD" w:rsidRPr="00E67B03" w14:paraId="2C361BCE"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DA3259B" w14:textId="7ECD6419" w:rsidR="00AC68AD" w:rsidRPr="00E060C3" w:rsidRDefault="00AC68AD" w:rsidP="00FD3385">
            <w:pPr>
              <w:jc w:val="center"/>
              <w:rPr>
                <w:b/>
                <w:bCs/>
                <w:sz w:val="16"/>
                <w:szCs w:val="16"/>
              </w:rPr>
            </w:pPr>
            <w:r w:rsidRPr="00E060C3">
              <w:rPr>
                <w:b/>
                <w:bCs/>
                <w:sz w:val="16"/>
                <w:szCs w:val="16"/>
              </w:rPr>
              <w:t xml:space="preserve">AUD </w:t>
            </w:r>
            <w:r>
              <w:rPr>
                <w:b/>
                <w:bCs/>
                <w:sz w:val="16"/>
                <w:szCs w:val="16"/>
              </w:rPr>
              <w:t>R3</w:t>
            </w:r>
          </w:p>
          <w:p w14:paraId="18CD981B" w14:textId="26E698A1" w:rsidR="00AC68AD" w:rsidRDefault="00AC68AD" w:rsidP="00FD3385">
            <w:pPr>
              <w:jc w:val="center"/>
              <w:rPr>
                <w:b/>
                <w:sz w:val="16"/>
                <w:szCs w:val="16"/>
              </w:rPr>
            </w:pPr>
            <w:r w:rsidRPr="00E060C3">
              <w:rPr>
                <w:b/>
                <w:bCs/>
                <w:sz w:val="16"/>
                <w:szCs w:val="16"/>
              </w:rPr>
              <w:t>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11149" w14:textId="777A32EC" w:rsidR="00AC68AD" w:rsidRPr="00E67B03" w:rsidRDefault="00AC68AD" w:rsidP="00FD3385">
            <w:pPr>
              <w:jc w:val="center"/>
              <w:rPr>
                <w:sz w:val="16"/>
                <w:szCs w:val="16"/>
              </w:rPr>
            </w:pPr>
            <w:r w:rsidRPr="00E060C3">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0223F" w14:textId="12EF9183" w:rsidR="00AC68AD" w:rsidRPr="00E67B03" w:rsidRDefault="00AC68AD" w:rsidP="00FD3385">
            <w:pPr>
              <w:jc w:val="center"/>
              <w:rPr>
                <w:sz w:val="16"/>
                <w:szCs w:val="16"/>
              </w:rPr>
            </w:pPr>
            <w:r w:rsidRPr="00E67B03">
              <w:rPr>
                <w:sz w:val="16"/>
                <w:szCs w:val="16"/>
              </w:rPr>
              <w:t>Up to 1.50%of NAV per annum</w:t>
            </w:r>
          </w:p>
        </w:tc>
        <w:tc>
          <w:tcPr>
            <w:tcW w:w="1135" w:type="dxa"/>
            <w:tcBorders>
              <w:top w:val="single" w:sz="4" w:space="0" w:color="auto"/>
              <w:left w:val="single" w:sz="4" w:space="0" w:color="auto"/>
              <w:bottom w:val="single" w:sz="4" w:space="0" w:color="auto"/>
              <w:right w:val="single" w:sz="4" w:space="0" w:color="auto"/>
            </w:tcBorders>
          </w:tcPr>
          <w:p w14:paraId="788ECE62" w14:textId="0BAE1BC5"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07D6A" w14:textId="316C0B7D"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7281011" w14:textId="31E9FC14" w:rsidR="00AC68AD" w:rsidRPr="00E67B03" w:rsidRDefault="00AC68AD" w:rsidP="00FD3385">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36FD3DBC" w14:textId="1AE6C9D9" w:rsidR="00AC68AD" w:rsidRPr="00E67B03" w:rsidRDefault="00AC68AD" w:rsidP="00FD3385">
            <w:pPr>
              <w:jc w:val="center"/>
              <w:rPr>
                <w:sz w:val="16"/>
                <w:szCs w:val="16"/>
              </w:rPr>
            </w:pPr>
            <w:r>
              <w:rPr>
                <w:sz w:val="16"/>
                <w:szCs w:val="16"/>
              </w:rPr>
              <w:t>AUD</w:t>
            </w:r>
            <w:r w:rsidRPr="00E67B03">
              <w:rPr>
                <w:sz w:val="16"/>
                <w:szCs w:val="16"/>
              </w:rPr>
              <w:t>50,000</w:t>
            </w:r>
          </w:p>
        </w:tc>
      </w:tr>
      <w:tr w:rsidR="00F179E4" w:rsidRPr="00E67B03" w14:paraId="2C9B92CC" w14:textId="77777777" w:rsidTr="00F179E4">
        <w:trPr>
          <w:trHeight w:val="310"/>
        </w:trPr>
        <w:tc>
          <w:tcPr>
            <w:tcW w:w="9351" w:type="dxa"/>
            <w:gridSpan w:val="7"/>
            <w:tcBorders>
              <w:top w:val="single" w:sz="4" w:space="0" w:color="auto"/>
              <w:bottom w:val="single" w:sz="4" w:space="0" w:color="auto"/>
            </w:tcBorders>
            <w:tcMar>
              <w:top w:w="0" w:type="dxa"/>
              <w:left w:w="108" w:type="dxa"/>
              <w:bottom w:w="0" w:type="dxa"/>
              <w:right w:w="108" w:type="dxa"/>
            </w:tcMar>
          </w:tcPr>
          <w:p w14:paraId="2A44CDE5" w14:textId="22AAF9ED" w:rsidR="00F179E4" w:rsidRDefault="00F179E4" w:rsidP="00FD3385">
            <w:pPr>
              <w:jc w:val="center"/>
              <w:rPr>
                <w:sz w:val="16"/>
                <w:szCs w:val="16"/>
              </w:rPr>
            </w:pPr>
            <w:r>
              <w:rPr>
                <w:b/>
                <w:bCs/>
                <w:sz w:val="16"/>
                <w:szCs w:val="16"/>
              </w:rPr>
              <w:t>Retail 4</w:t>
            </w:r>
          </w:p>
        </w:tc>
      </w:tr>
      <w:tr w:rsidR="00F179E4" w:rsidRPr="00E67B03" w14:paraId="31B8E385"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16C5D68" w14:textId="1B23835E" w:rsidR="00F179E4" w:rsidRDefault="00F179E4" w:rsidP="00FD3385">
            <w:pPr>
              <w:jc w:val="center"/>
              <w:rPr>
                <w:b/>
                <w:bCs/>
                <w:sz w:val="16"/>
                <w:szCs w:val="16"/>
              </w:rPr>
            </w:pPr>
            <w:r>
              <w:rPr>
                <w:b/>
                <w:bCs/>
                <w:sz w:val="16"/>
                <w:szCs w:val="16"/>
              </w:rPr>
              <w:t>EUR R4 Accumulating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1481" w14:textId="34C397B1" w:rsidR="00F179E4" w:rsidRPr="00E060C3" w:rsidRDefault="00F179E4" w:rsidP="00FD3385">
            <w:pPr>
              <w:jc w:val="center"/>
              <w:rPr>
                <w:sz w:val="16"/>
                <w:szCs w:val="16"/>
              </w:rPr>
            </w:pPr>
            <w:r>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77BC6" w14:textId="59430280" w:rsidR="00F179E4" w:rsidRPr="00E67B03" w:rsidRDefault="00F179E4" w:rsidP="00FD3385">
            <w:pPr>
              <w:jc w:val="center"/>
              <w:rPr>
                <w:sz w:val="16"/>
                <w:szCs w:val="16"/>
              </w:rPr>
            </w:pPr>
            <w:r w:rsidRPr="00E67B03">
              <w:rPr>
                <w:sz w:val="16"/>
                <w:szCs w:val="16"/>
              </w:rPr>
              <w:t>Up to 1.50%of NAV per annum</w:t>
            </w:r>
          </w:p>
        </w:tc>
        <w:tc>
          <w:tcPr>
            <w:tcW w:w="1135" w:type="dxa"/>
            <w:tcBorders>
              <w:top w:val="single" w:sz="4" w:space="0" w:color="auto"/>
              <w:left w:val="single" w:sz="4" w:space="0" w:color="auto"/>
              <w:bottom w:val="single" w:sz="4" w:space="0" w:color="auto"/>
              <w:right w:val="single" w:sz="4" w:space="0" w:color="auto"/>
            </w:tcBorders>
          </w:tcPr>
          <w:p w14:paraId="366410EB" w14:textId="00D81938" w:rsidR="00F179E4" w:rsidRPr="00E67B03" w:rsidRDefault="00F179E4" w:rsidP="00FD3385">
            <w:pPr>
              <w:jc w:val="center"/>
              <w:rPr>
                <w:sz w:val="16"/>
                <w:szCs w:val="16"/>
              </w:rPr>
            </w:pPr>
            <w:r>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9C91F" w14:textId="20DC3650" w:rsidR="00F179E4" w:rsidRPr="00E67B03" w:rsidRDefault="00F179E4"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1ED57FD5" w14:textId="4A05B25A" w:rsidR="00F179E4" w:rsidRDefault="00F179E4" w:rsidP="00E855FE">
            <w:pPr>
              <w:jc w:val="center"/>
              <w:rPr>
                <w:sz w:val="16"/>
                <w:szCs w:val="16"/>
              </w:rPr>
            </w:pPr>
            <w:r w:rsidRPr="00E67B03">
              <w:rPr>
                <w:sz w:val="16"/>
                <w:szCs w:val="16"/>
              </w:rPr>
              <w:t>€</w:t>
            </w:r>
            <w:r w:rsidR="00E855FE">
              <w:rPr>
                <w:sz w:val="16"/>
                <w:szCs w:val="16"/>
              </w:rPr>
              <w:t>1</w:t>
            </w:r>
            <w:r w:rsidRPr="00E67B03">
              <w:rPr>
                <w:sz w:val="16"/>
                <w:szCs w:val="16"/>
              </w:rPr>
              <w:t>,000</w:t>
            </w:r>
          </w:p>
        </w:tc>
        <w:tc>
          <w:tcPr>
            <w:tcW w:w="1698" w:type="dxa"/>
            <w:tcBorders>
              <w:top w:val="single" w:sz="4" w:space="0" w:color="auto"/>
              <w:left w:val="single" w:sz="4" w:space="0" w:color="auto"/>
              <w:bottom w:val="single" w:sz="4" w:space="0" w:color="auto"/>
            </w:tcBorders>
          </w:tcPr>
          <w:p w14:paraId="7F95D27C" w14:textId="71877D34" w:rsidR="00F179E4" w:rsidRDefault="0017415D" w:rsidP="00262AA5">
            <w:pPr>
              <w:jc w:val="center"/>
              <w:rPr>
                <w:sz w:val="16"/>
                <w:szCs w:val="16"/>
              </w:rPr>
            </w:pPr>
            <w:r w:rsidRPr="00E67B03">
              <w:rPr>
                <w:sz w:val="16"/>
                <w:szCs w:val="16"/>
              </w:rPr>
              <w:t>€</w:t>
            </w:r>
            <w:r w:rsidR="00262AA5">
              <w:rPr>
                <w:sz w:val="16"/>
                <w:szCs w:val="16"/>
              </w:rPr>
              <w:t>1,0000</w:t>
            </w:r>
          </w:p>
        </w:tc>
      </w:tr>
      <w:tr w:rsidR="00F179E4" w:rsidRPr="00E67B03" w14:paraId="015A0CCC"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20063211" w14:textId="368EEAAC" w:rsidR="00F179E4" w:rsidRDefault="00F179E4" w:rsidP="00FD3385">
            <w:pPr>
              <w:jc w:val="center"/>
              <w:rPr>
                <w:b/>
                <w:bCs/>
                <w:sz w:val="16"/>
                <w:szCs w:val="16"/>
              </w:rPr>
            </w:pPr>
            <w:r>
              <w:rPr>
                <w:b/>
                <w:bCs/>
                <w:sz w:val="16"/>
                <w:szCs w:val="16"/>
              </w:rPr>
              <w:t>EUR R4 Accumulating (Hedged)</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B6B27" w14:textId="5547FC45" w:rsidR="00F179E4" w:rsidRPr="00E060C3" w:rsidRDefault="00F179E4" w:rsidP="00FD3385">
            <w:pPr>
              <w:jc w:val="center"/>
              <w:rPr>
                <w:sz w:val="16"/>
                <w:szCs w:val="16"/>
              </w:rPr>
            </w:pPr>
            <w:r>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7AC1" w14:textId="31268FA4" w:rsidR="00F179E4" w:rsidRPr="00E67B03" w:rsidRDefault="00F179E4" w:rsidP="00FD3385">
            <w:pPr>
              <w:jc w:val="center"/>
              <w:rPr>
                <w:sz w:val="16"/>
                <w:szCs w:val="16"/>
              </w:rPr>
            </w:pPr>
            <w:r w:rsidRPr="00E67B03">
              <w:rPr>
                <w:sz w:val="16"/>
                <w:szCs w:val="16"/>
              </w:rPr>
              <w:t>Up to 1.50%of NAV per annum</w:t>
            </w:r>
          </w:p>
        </w:tc>
        <w:tc>
          <w:tcPr>
            <w:tcW w:w="1135" w:type="dxa"/>
            <w:tcBorders>
              <w:top w:val="single" w:sz="4" w:space="0" w:color="auto"/>
              <w:left w:val="single" w:sz="4" w:space="0" w:color="auto"/>
              <w:bottom w:val="single" w:sz="4" w:space="0" w:color="auto"/>
              <w:right w:val="single" w:sz="4" w:space="0" w:color="auto"/>
            </w:tcBorders>
          </w:tcPr>
          <w:p w14:paraId="621411CE" w14:textId="4C1B35F0" w:rsidR="00F179E4" w:rsidRPr="00E67B03" w:rsidRDefault="00F179E4" w:rsidP="00FD3385">
            <w:pPr>
              <w:jc w:val="center"/>
              <w:rPr>
                <w:sz w:val="16"/>
                <w:szCs w:val="16"/>
              </w:rPr>
            </w:pPr>
            <w:r>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C07EB" w14:textId="4605CF7E" w:rsidR="00F179E4" w:rsidRPr="00E67B03" w:rsidRDefault="00F179E4"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7DC8946A" w14:textId="12E3C4B1" w:rsidR="00F179E4" w:rsidRDefault="00E855FE" w:rsidP="00E855FE">
            <w:pPr>
              <w:jc w:val="center"/>
              <w:rPr>
                <w:sz w:val="16"/>
                <w:szCs w:val="16"/>
              </w:rPr>
            </w:pPr>
            <w:r>
              <w:rPr>
                <w:sz w:val="16"/>
                <w:szCs w:val="16"/>
              </w:rPr>
              <w:t>€1</w:t>
            </w:r>
            <w:r w:rsidR="00F179E4" w:rsidRPr="00E67B03">
              <w:rPr>
                <w:sz w:val="16"/>
                <w:szCs w:val="16"/>
              </w:rPr>
              <w:t>,000</w:t>
            </w:r>
          </w:p>
        </w:tc>
        <w:tc>
          <w:tcPr>
            <w:tcW w:w="1698" w:type="dxa"/>
            <w:tcBorders>
              <w:top w:val="single" w:sz="4" w:space="0" w:color="auto"/>
              <w:left w:val="single" w:sz="4" w:space="0" w:color="auto"/>
              <w:bottom w:val="single" w:sz="4" w:space="0" w:color="auto"/>
            </w:tcBorders>
          </w:tcPr>
          <w:p w14:paraId="12F2A2BE" w14:textId="2D5A6629" w:rsidR="00F179E4" w:rsidRDefault="0017415D" w:rsidP="00262AA5">
            <w:pPr>
              <w:jc w:val="center"/>
              <w:rPr>
                <w:sz w:val="16"/>
                <w:szCs w:val="16"/>
              </w:rPr>
            </w:pPr>
            <w:r w:rsidRPr="00E67B03">
              <w:rPr>
                <w:sz w:val="16"/>
                <w:szCs w:val="16"/>
              </w:rPr>
              <w:t>€</w:t>
            </w:r>
            <w:r w:rsidR="00262AA5">
              <w:rPr>
                <w:sz w:val="16"/>
                <w:szCs w:val="16"/>
              </w:rPr>
              <w:t>1,000</w:t>
            </w:r>
          </w:p>
        </w:tc>
      </w:tr>
      <w:tr w:rsidR="001B2566" w:rsidRPr="00E67B03" w14:paraId="0643E18B" w14:textId="77777777" w:rsidTr="004F2756">
        <w:trPr>
          <w:trHeight w:val="424"/>
        </w:trPr>
        <w:tc>
          <w:tcPr>
            <w:tcW w:w="9351" w:type="dxa"/>
            <w:gridSpan w:val="7"/>
            <w:tcBorders>
              <w:top w:val="single" w:sz="4" w:space="0" w:color="auto"/>
              <w:bottom w:val="single" w:sz="4" w:space="0" w:color="auto"/>
            </w:tcBorders>
            <w:tcMar>
              <w:top w:w="0" w:type="dxa"/>
              <w:left w:w="108" w:type="dxa"/>
              <w:bottom w:w="0" w:type="dxa"/>
              <w:right w:w="108" w:type="dxa"/>
            </w:tcMar>
          </w:tcPr>
          <w:p w14:paraId="6AA2E54E" w14:textId="1D0325B9" w:rsidR="001B2566" w:rsidRPr="001B2566" w:rsidRDefault="001B2566" w:rsidP="00FD3385">
            <w:pPr>
              <w:jc w:val="center"/>
              <w:rPr>
                <w:b/>
                <w:sz w:val="16"/>
                <w:szCs w:val="16"/>
              </w:rPr>
            </w:pPr>
            <w:r>
              <w:rPr>
                <w:b/>
                <w:sz w:val="16"/>
                <w:szCs w:val="16"/>
              </w:rPr>
              <w:t>Distributing Share Classes</w:t>
            </w:r>
          </w:p>
        </w:tc>
      </w:tr>
      <w:tr w:rsidR="001B2566" w:rsidRPr="00E67B03" w14:paraId="09B86428" w14:textId="77777777" w:rsidTr="004F2756">
        <w:trPr>
          <w:trHeight w:val="325"/>
        </w:trPr>
        <w:tc>
          <w:tcPr>
            <w:tcW w:w="9351" w:type="dxa"/>
            <w:gridSpan w:val="7"/>
            <w:tcBorders>
              <w:top w:val="single" w:sz="4" w:space="0" w:color="auto"/>
              <w:bottom w:val="single" w:sz="4" w:space="0" w:color="auto"/>
            </w:tcBorders>
            <w:tcMar>
              <w:top w:w="0" w:type="dxa"/>
              <w:left w:w="108" w:type="dxa"/>
              <w:bottom w:w="0" w:type="dxa"/>
              <w:right w:w="108" w:type="dxa"/>
            </w:tcMar>
          </w:tcPr>
          <w:p w14:paraId="0EE531E9" w14:textId="2FC4882B" w:rsidR="001B2566" w:rsidRPr="001B2566" w:rsidRDefault="001B2566" w:rsidP="00FD3385">
            <w:pPr>
              <w:jc w:val="center"/>
              <w:rPr>
                <w:b/>
                <w:sz w:val="16"/>
                <w:szCs w:val="16"/>
              </w:rPr>
            </w:pPr>
            <w:r>
              <w:rPr>
                <w:b/>
                <w:sz w:val="16"/>
                <w:szCs w:val="16"/>
              </w:rPr>
              <w:t>Z Shares</w:t>
            </w:r>
          </w:p>
        </w:tc>
      </w:tr>
      <w:tr w:rsidR="00AC68AD" w:rsidRPr="00E67B03" w14:paraId="513BEF1F"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44C8AFA" w14:textId="77777777" w:rsidR="00AC68AD" w:rsidRPr="00E67B03" w:rsidRDefault="00AC68AD" w:rsidP="00FD3385">
            <w:pPr>
              <w:jc w:val="center"/>
              <w:rPr>
                <w:b/>
                <w:sz w:val="16"/>
                <w:szCs w:val="16"/>
              </w:rPr>
            </w:pPr>
            <w:r w:rsidRPr="00E67B03">
              <w:rPr>
                <w:b/>
                <w:sz w:val="16"/>
                <w:szCs w:val="16"/>
              </w:rPr>
              <w:lastRenderedPageBreak/>
              <w:t>EUR Z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C475B"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D43C2"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02D6BB4"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A68A"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10C6E749"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39A38541" w14:textId="77777777" w:rsidR="00AC68AD" w:rsidRPr="00E67B03" w:rsidRDefault="00AC68AD" w:rsidP="00FD3385">
            <w:pPr>
              <w:jc w:val="center"/>
              <w:rPr>
                <w:sz w:val="16"/>
                <w:szCs w:val="16"/>
              </w:rPr>
            </w:pPr>
            <w:r w:rsidRPr="00E67B03">
              <w:rPr>
                <w:sz w:val="16"/>
                <w:szCs w:val="16"/>
              </w:rPr>
              <w:t>€50,000</w:t>
            </w:r>
          </w:p>
        </w:tc>
      </w:tr>
      <w:tr w:rsidR="00AC68AD" w:rsidRPr="00E67B03" w14:paraId="1ADD0457"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351504E" w14:textId="77777777" w:rsidR="00AC68AD" w:rsidRPr="00E67B03" w:rsidRDefault="00AC68AD" w:rsidP="00FD3385">
            <w:pPr>
              <w:jc w:val="center"/>
              <w:rPr>
                <w:b/>
                <w:sz w:val="16"/>
                <w:szCs w:val="16"/>
              </w:rPr>
            </w:pPr>
            <w:r w:rsidRPr="00E67B03">
              <w:rPr>
                <w:b/>
                <w:sz w:val="16"/>
                <w:szCs w:val="16"/>
              </w:rPr>
              <w:t>GBP Z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28438"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EB840"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25F135E"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C5C3"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B8D6E54"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5BCE77F6" w14:textId="77777777" w:rsidR="00AC68AD" w:rsidRPr="00E67B03" w:rsidRDefault="00AC68AD" w:rsidP="00FD3385">
            <w:pPr>
              <w:jc w:val="center"/>
              <w:rPr>
                <w:sz w:val="16"/>
                <w:szCs w:val="16"/>
              </w:rPr>
            </w:pPr>
            <w:r w:rsidRPr="00E67B03">
              <w:rPr>
                <w:sz w:val="16"/>
                <w:szCs w:val="16"/>
              </w:rPr>
              <w:t>£50,000</w:t>
            </w:r>
          </w:p>
        </w:tc>
      </w:tr>
      <w:tr w:rsidR="00AC68AD" w:rsidRPr="00E67B03" w14:paraId="3E9E5B9B"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2BFC4DA1" w14:textId="77777777" w:rsidR="00AC68AD" w:rsidRPr="00E67B03" w:rsidRDefault="00AC68AD" w:rsidP="00FD3385">
            <w:pPr>
              <w:jc w:val="center"/>
              <w:rPr>
                <w:b/>
                <w:sz w:val="16"/>
                <w:szCs w:val="16"/>
              </w:rPr>
            </w:pPr>
            <w:r w:rsidRPr="00E67B03">
              <w:rPr>
                <w:b/>
                <w:sz w:val="16"/>
                <w:szCs w:val="16"/>
              </w:rPr>
              <w:t>CHF Z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F308"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4F644"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03785B6F"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64CD"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91FDE25" w14:textId="77777777" w:rsidR="00AC68AD" w:rsidRPr="00E67B03" w:rsidRDefault="00AC68AD" w:rsidP="00FD3385">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669A0AD4" w14:textId="77777777" w:rsidR="00AC68AD" w:rsidRPr="00E67B03" w:rsidRDefault="00AC68AD" w:rsidP="00FD3385">
            <w:pPr>
              <w:jc w:val="center"/>
              <w:rPr>
                <w:sz w:val="16"/>
                <w:szCs w:val="16"/>
              </w:rPr>
            </w:pPr>
            <w:r w:rsidRPr="00E67B03">
              <w:rPr>
                <w:sz w:val="16"/>
                <w:szCs w:val="16"/>
              </w:rPr>
              <w:t>CHF 50,000</w:t>
            </w:r>
          </w:p>
        </w:tc>
      </w:tr>
      <w:tr w:rsidR="00AC68AD" w:rsidRPr="00E67B03" w14:paraId="6A132D55"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C2D150F" w14:textId="77777777" w:rsidR="00AC68AD" w:rsidRPr="00E67B03" w:rsidRDefault="00AC68AD" w:rsidP="00FD3385">
            <w:pPr>
              <w:jc w:val="center"/>
              <w:rPr>
                <w:b/>
                <w:sz w:val="16"/>
                <w:szCs w:val="16"/>
              </w:rPr>
            </w:pPr>
            <w:r w:rsidRPr="00E67B03">
              <w:rPr>
                <w:b/>
                <w:sz w:val="16"/>
                <w:szCs w:val="16"/>
              </w:rPr>
              <w:t>USD Z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DD2CA"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BB539"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3F4215A"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044C6"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04B39EC"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60F9CBFA" w14:textId="77777777" w:rsidR="00AC68AD" w:rsidRPr="00E67B03" w:rsidRDefault="00AC68AD" w:rsidP="00FD3385">
            <w:pPr>
              <w:jc w:val="center"/>
              <w:rPr>
                <w:sz w:val="16"/>
                <w:szCs w:val="16"/>
              </w:rPr>
            </w:pPr>
            <w:r w:rsidRPr="00E67B03">
              <w:rPr>
                <w:sz w:val="16"/>
                <w:szCs w:val="16"/>
              </w:rPr>
              <w:t>$50,000</w:t>
            </w:r>
          </w:p>
        </w:tc>
      </w:tr>
      <w:tr w:rsidR="00AC68AD" w:rsidRPr="00E67B03" w14:paraId="520DEC1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EFB406F" w14:textId="2CF4FA03" w:rsidR="00AC68AD" w:rsidRPr="00E67B03" w:rsidRDefault="00AC68AD" w:rsidP="00FD3385">
            <w:pPr>
              <w:jc w:val="center"/>
              <w:rPr>
                <w:b/>
                <w:sz w:val="16"/>
                <w:szCs w:val="16"/>
              </w:rPr>
            </w:pPr>
            <w:r>
              <w:rPr>
                <w:b/>
                <w:sz w:val="16"/>
                <w:szCs w:val="16"/>
              </w:rPr>
              <w:t xml:space="preserve">AUD </w:t>
            </w:r>
            <w:r w:rsidRPr="00E67B03">
              <w:rPr>
                <w:b/>
                <w:sz w:val="16"/>
                <w:szCs w:val="16"/>
              </w:rPr>
              <w:t>Z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3C7A0" w14:textId="79AA9FC2" w:rsidR="00AC68AD" w:rsidRPr="00E67B03" w:rsidRDefault="00AC68AD" w:rsidP="00FD3385">
            <w:pPr>
              <w:jc w:val="center"/>
              <w:rPr>
                <w:sz w:val="16"/>
                <w:szCs w:val="16"/>
              </w:rPr>
            </w:pPr>
            <w:r w:rsidRPr="00E060C3">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9520" w14:textId="481D93FC"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4FDAA771" w14:textId="31C3110D"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68A72" w14:textId="2371E5C8"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1D09FC93" w14:textId="37233E88" w:rsidR="00AC68AD" w:rsidRPr="00E67B03" w:rsidRDefault="00AC68AD" w:rsidP="00FD3385">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232B5FFB" w14:textId="46D28D6D" w:rsidR="00AC68AD" w:rsidRPr="00E67B03" w:rsidRDefault="00AC68AD" w:rsidP="00FD3385">
            <w:pPr>
              <w:jc w:val="center"/>
              <w:rPr>
                <w:sz w:val="16"/>
                <w:szCs w:val="16"/>
              </w:rPr>
            </w:pPr>
            <w:r>
              <w:rPr>
                <w:sz w:val="16"/>
                <w:szCs w:val="16"/>
              </w:rPr>
              <w:t>AUD</w:t>
            </w:r>
            <w:r w:rsidRPr="00E67B03">
              <w:rPr>
                <w:sz w:val="16"/>
                <w:szCs w:val="16"/>
              </w:rPr>
              <w:t>50,000</w:t>
            </w:r>
          </w:p>
        </w:tc>
      </w:tr>
      <w:tr w:rsidR="00171424" w:rsidRPr="00E67B03" w14:paraId="3A05377C" w14:textId="77777777" w:rsidTr="004F2756">
        <w:trPr>
          <w:trHeight w:val="500"/>
        </w:trPr>
        <w:tc>
          <w:tcPr>
            <w:tcW w:w="9351" w:type="dxa"/>
            <w:gridSpan w:val="7"/>
            <w:tcBorders>
              <w:top w:val="single" w:sz="4" w:space="0" w:color="auto"/>
              <w:bottom w:val="single" w:sz="4" w:space="0" w:color="auto"/>
            </w:tcBorders>
            <w:tcMar>
              <w:top w:w="0" w:type="dxa"/>
              <w:left w:w="108" w:type="dxa"/>
              <w:bottom w:w="0" w:type="dxa"/>
              <w:right w:w="108" w:type="dxa"/>
            </w:tcMar>
          </w:tcPr>
          <w:p w14:paraId="7B5D013B" w14:textId="1F8FA56D" w:rsidR="00171424" w:rsidRPr="00171424" w:rsidRDefault="00171424" w:rsidP="00FD3385">
            <w:pPr>
              <w:jc w:val="center"/>
              <w:rPr>
                <w:b/>
                <w:sz w:val="16"/>
                <w:szCs w:val="16"/>
              </w:rPr>
            </w:pPr>
            <w:r w:rsidRPr="00171424">
              <w:rPr>
                <w:b/>
                <w:sz w:val="16"/>
                <w:szCs w:val="16"/>
              </w:rPr>
              <w:t>E Shares</w:t>
            </w:r>
          </w:p>
        </w:tc>
      </w:tr>
      <w:tr w:rsidR="004F2756" w:rsidRPr="001024E8" w14:paraId="0519192B"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F84B1" w14:textId="77777777" w:rsidR="004F2756" w:rsidRPr="004F2756" w:rsidRDefault="004F2756" w:rsidP="00F16B51">
            <w:pPr>
              <w:jc w:val="center"/>
              <w:rPr>
                <w:rFonts w:eastAsia="Calibri" w:cs="Arial"/>
                <w:b/>
                <w:bCs/>
                <w:sz w:val="16"/>
                <w:szCs w:val="16"/>
                <w:lang w:val="en-GB" w:eastAsia="en-GB"/>
              </w:rPr>
            </w:pPr>
            <w:r w:rsidRPr="004F2756">
              <w:rPr>
                <w:rFonts w:eastAsia="Calibri" w:cs="Arial"/>
                <w:b/>
                <w:bCs/>
                <w:sz w:val="16"/>
                <w:szCs w:val="16"/>
                <w:lang w:val="en-GB" w:eastAsia="en-GB"/>
              </w:rPr>
              <w:t>EUR E Distributing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0FB27E1A"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EUR</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4D9C7267"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05DDB3C9"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46DBBF"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2A68EAEE"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97D50"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€50,000</w:t>
            </w:r>
          </w:p>
        </w:tc>
      </w:tr>
      <w:tr w:rsidR="004F2756" w:rsidRPr="001024E8" w14:paraId="7776FD2E"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73574" w14:textId="77777777" w:rsidR="004F2756" w:rsidRPr="004F2756" w:rsidRDefault="004F2756" w:rsidP="00F16B51">
            <w:pPr>
              <w:jc w:val="center"/>
              <w:rPr>
                <w:rFonts w:eastAsia="Calibri" w:cs="Arial"/>
                <w:b/>
                <w:bCs/>
                <w:sz w:val="16"/>
                <w:szCs w:val="16"/>
                <w:lang w:val="en-GB" w:eastAsia="en-GB"/>
              </w:rPr>
            </w:pPr>
            <w:r w:rsidRPr="004F2756">
              <w:rPr>
                <w:rFonts w:eastAsia="Calibri" w:cs="Arial"/>
                <w:b/>
                <w:bCs/>
                <w:sz w:val="16"/>
                <w:szCs w:val="16"/>
                <w:lang w:val="en-GB" w:eastAsia="en-GB"/>
              </w:rPr>
              <w:t>GBP E Distributing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76FA6AC5"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GBP</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7FDEFA47"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28347998"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029832E"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539A2FB6"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53534"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£50,000</w:t>
            </w:r>
          </w:p>
        </w:tc>
      </w:tr>
      <w:tr w:rsidR="004F2756" w:rsidRPr="001024E8" w14:paraId="29569DC7"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BC021" w14:textId="77777777" w:rsidR="004F2756" w:rsidRPr="004F2756" w:rsidRDefault="004F2756" w:rsidP="00F16B51">
            <w:pPr>
              <w:jc w:val="center"/>
              <w:rPr>
                <w:rFonts w:eastAsia="Calibri" w:cs="Arial"/>
                <w:b/>
                <w:bCs/>
                <w:sz w:val="16"/>
                <w:szCs w:val="16"/>
                <w:lang w:val="en-GB" w:eastAsia="en-GB"/>
              </w:rPr>
            </w:pPr>
            <w:r w:rsidRPr="004F2756">
              <w:rPr>
                <w:rFonts w:eastAsia="Calibri" w:cs="Arial"/>
                <w:b/>
                <w:bCs/>
                <w:sz w:val="16"/>
                <w:szCs w:val="16"/>
                <w:lang w:val="en-GB" w:eastAsia="en-GB"/>
              </w:rPr>
              <w:lastRenderedPageBreak/>
              <w:t>CHF E Distributing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4B66738D"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CHF</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346BBF97"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24A1D5C1"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92150B"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523E2F38"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CHF 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66AA9"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CHF 50,000</w:t>
            </w:r>
          </w:p>
        </w:tc>
      </w:tr>
      <w:tr w:rsidR="004F2756" w:rsidRPr="001024E8" w14:paraId="14B87258"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FA099" w14:textId="77777777" w:rsidR="004F2756" w:rsidRPr="004F2756" w:rsidRDefault="004F2756" w:rsidP="00F16B51">
            <w:pPr>
              <w:jc w:val="center"/>
              <w:rPr>
                <w:rFonts w:eastAsia="Calibri" w:cs="Arial"/>
                <w:b/>
                <w:bCs/>
                <w:sz w:val="16"/>
                <w:szCs w:val="16"/>
                <w:lang w:val="en-GB" w:eastAsia="en-GB"/>
              </w:rPr>
            </w:pPr>
            <w:r w:rsidRPr="004F2756">
              <w:rPr>
                <w:rFonts w:eastAsia="Calibri" w:cs="Arial"/>
                <w:b/>
                <w:bCs/>
                <w:sz w:val="16"/>
                <w:szCs w:val="16"/>
                <w:lang w:val="en-GB" w:eastAsia="en-GB"/>
              </w:rPr>
              <w:t>USD E Distributing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55F10E75"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USD</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1BC48888"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5DB67DB4"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015A5A"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77F4011D"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BAE3E"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$50,000</w:t>
            </w:r>
          </w:p>
        </w:tc>
      </w:tr>
      <w:tr w:rsidR="004F2756" w:rsidRPr="001024E8" w14:paraId="16909681" w14:textId="77777777" w:rsidTr="00EC2858">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rPr>
          <w:trHeight w:val="1577"/>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74A14" w14:textId="77777777" w:rsidR="004F2756" w:rsidRPr="004F2756" w:rsidRDefault="004F2756" w:rsidP="00F16B51">
            <w:pPr>
              <w:jc w:val="center"/>
              <w:rPr>
                <w:rFonts w:eastAsia="Calibri" w:cs="Arial"/>
                <w:b/>
                <w:bCs/>
                <w:sz w:val="16"/>
                <w:szCs w:val="16"/>
                <w:lang w:val="en-GB" w:eastAsia="en-GB"/>
              </w:rPr>
            </w:pPr>
            <w:r w:rsidRPr="004F2756">
              <w:rPr>
                <w:rFonts w:eastAsia="Calibri" w:cs="Arial"/>
                <w:b/>
                <w:bCs/>
                <w:sz w:val="16"/>
                <w:szCs w:val="16"/>
                <w:lang w:val="en-GB" w:eastAsia="en-GB"/>
              </w:rPr>
              <w:t>AUD E Distributing</w:t>
            </w:r>
          </w:p>
        </w:tc>
        <w:tc>
          <w:tcPr>
            <w:tcW w:w="967" w:type="dxa"/>
            <w:tcBorders>
              <w:top w:val="nil"/>
              <w:left w:val="nil"/>
              <w:bottom w:val="single" w:sz="8" w:space="0" w:color="auto"/>
              <w:right w:val="single" w:sz="8" w:space="0" w:color="auto"/>
            </w:tcBorders>
            <w:tcMar>
              <w:top w:w="0" w:type="dxa"/>
              <w:left w:w="108" w:type="dxa"/>
              <w:bottom w:w="0" w:type="dxa"/>
              <w:right w:w="108" w:type="dxa"/>
            </w:tcMar>
            <w:hideMark/>
          </w:tcPr>
          <w:p w14:paraId="49B185E8"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AUD</w:t>
            </w:r>
          </w:p>
        </w:tc>
        <w:tc>
          <w:tcPr>
            <w:tcW w:w="1698" w:type="dxa"/>
            <w:tcBorders>
              <w:top w:val="nil"/>
              <w:left w:val="nil"/>
              <w:bottom w:val="single" w:sz="8" w:space="0" w:color="auto"/>
              <w:right w:val="single" w:sz="8" w:space="0" w:color="auto"/>
            </w:tcBorders>
            <w:tcMar>
              <w:top w:w="0" w:type="dxa"/>
              <w:left w:w="108" w:type="dxa"/>
              <w:bottom w:w="0" w:type="dxa"/>
              <w:right w:w="108" w:type="dxa"/>
            </w:tcMar>
            <w:hideMark/>
          </w:tcPr>
          <w:p w14:paraId="3A6AE84E"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Up to 0.75% of NAV per annum</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325ECCB5"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9E00375"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0%</w:t>
            </w:r>
          </w:p>
        </w:tc>
        <w:tc>
          <w:tcPr>
            <w:tcW w:w="1279" w:type="dxa"/>
            <w:tcBorders>
              <w:top w:val="nil"/>
              <w:left w:val="nil"/>
              <w:bottom w:val="single" w:sz="8" w:space="0" w:color="auto"/>
              <w:right w:val="nil"/>
            </w:tcBorders>
            <w:tcMar>
              <w:top w:w="0" w:type="dxa"/>
              <w:left w:w="108" w:type="dxa"/>
              <w:bottom w:w="0" w:type="dxa"/>
              <w:right w:w="108" w:type="dxa"/>
            </w:tcMar>
            <w:hideMark/>
          </w:tcPr>
          <w:p w14:paraId="21F19931"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AUD50,000</w:t>
            </w:r>
          </w:p>
        </w:tc>
        <w:tc>
          <w:tcPr>
            <w:tcW w:w="1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E9FAD" w14:textId="77777777" w:rsidR="004F2756" w:rsidRPr="004F2756" w:rsidRDefault="004F2756" w:rsidP="00F16B51">
            <w:pPr>
              <w:jc w:val="center"/>
              <w:rPr>
                <w:rFonts w:eastAsia="Calibri" w:cs="Arial"/>
                <w:sz w:val="16"/>
                <w:szCs w:val="16"/>
                <w:lang w:val="en-GB" w:eastAsia="en-GB"/>
              </w:rPr>
            </w:pPr>
            <w:r w:rsidRPr="004F2756">
              <w:rPr>
                <w:rFonts w:eastAsia="Calibri" w:cs="Arial"/>
                <w:sz w:val="16"/>
                <w:szCs w:val="16"/>
                <w:lang w:val="en-GB" w:eastAsia="en-GB"/>
              </w:rPr>
              <w:t>AUD50,000</w:t>
            </w:r>
          </w:p>
        </w:tc>
      </w:tr>
      <w:tr w:rsidR="001B2566" w:rsidRPr="00E67B03" w14:paraId="3F887AF7" w14:textId="77777777" w:rsidTr="004F2756">
        <w:trPr>
          <w:trHeight w:val="358"/>
        </w:trPr>
        <w:tc>
          <w:tcPr>
            <w:tcW w:w="9351" w:type="dxa"/>
            <w:gridSpan w:val="7"/>
            <w:tcBorders>
              <w:top w:val="single" w:sz="4" w:space="0" w:color="auto"/>
              <w:bottom w:val="single" w:sz="4" w:space="0" w:color="auto"/>
            </w:tcBorders>
            <w:tcMar>
              <w:top w:w="0" w:type="dxa"/>
              <w:left w:w="108" w:type="dxa"/>
              <w:bottom w:w="0" w:type="dxa"/>
              <w:right w:w="108" w:type="dxa"/>
            </w:tcMar>
          </w:tcPr>
          <w:p w14:paraId="1BA90DF0" w14:textId="3035BE2C" w:rsidR="001B2566" w:rsidRPr="001B2566" w:rsidRDefault="001B2566" w:rsidP="00FD3385">
            <w:pPr>
              <w:jc w:val="center"/>
              <w:rPr>
                <w:b/>
                <w:sz w:val="16"/>
                <w:szCs w:val="16"/>
              </w:rPr>
            </w:pPr>
            <w:r w:rsidRPr="001B2566">
              <w:rPr>
                <w:b/>
                <w:sz w:val="16"/>
                <w:szCs w:val="16"/>
              </w:rPr>
              <w:t>Institutional Classes</w:t>
            </w:r>
          </w:p>
        </w:tc>
      </w:tr>
      <w:tr w:rsidR="00AC68AD" w:rsidRPr="00E67B03" w14:paraId="6C898264"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FEF0D47" w14:textId="77777777" w:rsidR="00AC68AD" w:rsidRPr="00E67B03" w:rsidRDefault="00AC68AD" w:rsidP="00FD3385">
            <w:pPr>
              <w:jc w:val="center"/>
              <w:rPr>
                <w:b/>
                <w:sz w:val="16"/>
                <w:szCs w:val="16"/>
              </w:rPr>
            </w:pPr>
            <w:r w:rsidRPr="00E67B03">
              <w:rPr>
                <w:b/>
                <w:sz w:val="16"/>
                <w:szCs w:val="16"/>
              </w:rPr>
              <w:t>EUR I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D4398"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D9B28"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47460FD8"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A1CA"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F7DB7CC" w14:textId="77777777" w:rsidR="00AC68AD" w:rsidRPr="00E67B03" w:rsidRDefault="00AC68AD" w:rsidP="00FD3385">
            <w:pPr>
              <w:jc w:val="center"/>
              <w:rPr>
                <w:sz w:val="16"/>
                <w:szCs w:val="16"/>
              </w:rPr>
            </w:pPr>
            <w:r w:rsidRPr="00E67B03">
              <w:rPr>
                <w:sz w:val="16"/>
                <w:szCs w:val="16"/>
              </w:rPr>
              <w:t>€1,000,000</w:t>
            </w:r>
          </w:p>
        </w:tc>
        <w:tc>
          <w:tcPr>
            <w:tcW w:w="1698" w:type="dxa"/>
            <w:tcBorders>
              <w:top w:val="single" w:sz="4" w:space="0" w:color="auto"/>
              <w:left w:val="single" w:sz="4" w:space="0" w:color="auto"/>
              <w:bottom w:val="single" w:sz="4" w:space="0" w:color="auto"/>
            </w:tcBorders>
          </w:tcPr>
          <w:p w14:paraId="6500D8C9" w14:textId="77777777" w:rsidR="00AC68AD" w:rsidRPr="00E67B03" w:rsidRDefault="00AC68AD" w:rsidP="00FD3385">
            <w:pPr>
              <w:jc w:val="center"/>
              <w:rPr>
                <w:sz w:val="16"/>
                <w:szCs w:val="16"/>
              </w:rPr>
            </w:pPr>
            <w:r w:rsidRPr="00E67B03">
              <w:rPr>
                <w:sz w:val="16"/>
                <w:szCs w:val="16"/>
              </w:rPr>
              <w:t>€1,000,000</w:t>
            </w:r>
          </w:p>
        </w:tc>
      </w:tr>
      <w:tr w:rsidR="00AC68AD" w:rsidRPr="00E67B03" w14:paraId="04AEB7A7"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725C1B54" w14:textId="77777777" w:rsidR="00AC68AD" w:rsidRPr="00E67B03" w:rsidRDefault="00AC68AD" w:rsidP="00FD3385">
            <w:pPr>
              <w:jc w:val="center"/>
              <w:rPr>
                <w:b/>
                <w:sz w:val="16"/>
                <w:szCs w:val="16"/>
              </w:rPr>
            </w:pPr>
            <w:r w:rsidRPr="00E67B03">
              <w:rPr>
                <w:b/>
                <w:sz w:val="16"/>
                <w:szCs w:val="16"/>
              </w:rPr>
              <w:t>GBP I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6006"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9B286"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74C292AC"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1C213"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77FF3AD3" w14:textId="77777777" w:rsidR="00AC68AD" w:rsidRPr="00E67B03" w:rsidRDefault="00AC68AD" w:rsidP="00FD3385">
            <w:pPr>
              <w:jc w:val="center"/>
              <w:rPr>
                <w:sz w:val="16"/>
                <w:szCs w:val="16"/>
              </w:rPr>
            </w:pPr>
            <w:r w:rsidRPr="00E67B03">
              <w:rPr>
                <w:sz w:val="16"/>
                <w:szCs w:val="16"/>
              </w:rPr>
              <w:t>£1,000,000</w:t>
            </w:r>
          </w:p>
        </w:tc>
        <w:tc>
          <w:tcPr>
            <w:tcW w:w="1698" w:type="dxa"/>
            <w:tcBorders>
              <w:top w:val="single" w:sz="4" w:space="0" w:color="auto"/>
              <w:left w:val="single" w:sz="4" w:space="0" w:color="auto"/>
              <w:bottom w:val="single" w:sz="4" w:space="0" w:color="auto"/>
            </w:tcBorders>
          </w:tcPr>
          <w:p w14:paraId="1580AE63" w14:textId="77777777" w:rsidR="00AC68AD" w:rsidRPr="00E67B03" w:rsidRDefault="00AC68AD" w:rsidP="00FD3385">
            <w:pPr>
              <w:jc w:val="center"/>
              <w:rPr>
                <w:sz w:val="16"/>
                <w:szCs w:val="16"/>
              </w:rPr>
            </w:pPr>
            <w:r w:rsidRPr="00E67B03">
              <w:rPr>
                <w:sz w:val="16"/>
                <w:szCs w:val="16"/>
              </w:rPr>
              <w:t>£1,000,000</w:t>
            </w:r>
          </w:p>
        </w:tc>
      </w:tr>
      <w:tr w:rsidR="00AC68AD" w:rsidRPr="00E67B03" w14:paraId="0DB33F4E"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DC8312C" w14:textId="77777777" w:rsidR="00AC68AD" w:rsidRPr="00E67B03" w:rsidRDefault="00AC68AD" w:rsidP="00FD3385">
            <w:pPr>
              <w:jc w:val="center"/>
              <w:rPr>
                <w:b/>
                <w:sz w:val="16"/>
                <w:szCs w:val="16"/>
              </w:rPr>
            </w:pPr>
            <w:r w:rsidRPr="00E67B03">
              <w:rPr>
                <w:b/>
                <w:sz w:val="16"/>
                <w:szCs w:val="16"/>
              </w:rPr>
              <w:t>CHF I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344F8"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D9293"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6DFCFE58"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67A38"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7C7B80BF" w14:textId="77777777" w:rsidR="00AC68AD" w:rsidRPr="00E67B03" w:rsidRDefault="00AC68AD" w:rsidP="00FD3385">
            <w:pPr>
              <w:jc w:val="center"/>
              <w:rPr>
                <w:sz w:val="16"/>
                <w:szCs w:val="16"/>
              </w:rPr>
            </w:pPr>
            <w:r w:rsidRPr="00E67B03">
              <w:rPr>
                <w:sz w:val="16"/>
                <w:szCs w:val="16"/>
              </w:rPr>
              <w:t>CHF 1,000,000</w:t>
            </w:r>
          </w:p>
        </w:tc>
        <w:tc>
          <w:tcPr>
            <w:tcW w:w="1698" w:type="dxa"/>
            <w:tcBorders>
              <w:top w:val="single" w:sz="4" w:space="0" w:color="auto"/>
              <w:left w:val="single" w:sz="4" w:space="0" w:color="auto"/>
              <w:bottom w:val="single" w:sz="4" w:space="0" w:color="auto"/>
            </w:tcBorders>
          </w:tcPr>
          <w:p w14:paraId="29070764" w14:textId="77777777" w:rsidR="00AC68AD" w:rsidRPr="00E67B03" w:rsidRDefault="00AC68AD" w:rsidP="00FD3385">
            <w:pPr>
              <w:jc w:val="center"/>
              <w:rPr>
                <w:sz w:val="16"/>
                <w:szCs w:val="16"/>
              </w:rPr>
            </w:pPr>
            <w:r w:rsidRPr="00E67B03">
              <w:rPr>
                <w:sz w:val="16"/>
                <w:szCs w:val="16"/>
              </w:rPr>
              <w:t>CHF 1,000,000</w:t>
            </w:r>
          </w:p>
        </w:tc>
      </w:tr>
      <w:tr w:rsidR="00AC68AD" w:rsidRPr="00E67B03" w14:paraId="306A47CA" w14:textId="77777777" w:rsidTr="00EC2858">
        <w:trPr>
          <w:trHeight w:val="1632"/>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0903AC0" w14:textId="77777777" w:rsidR="00AC68AD" w:rsidRPr="00E67B03" w:rsidRDefault="00AC68AD" w:rsidP="00FD3385">
            <w:pPr>
              <w:jc w:val="center"/>
              <w:rPr>
                <w:b/>
                <w:sz w:val="16"/>
                <w:szCs w:val="16"/>
              </w:rPr>
            </w:pPr>
            <w:r w:rsidRPr="00E67B03">
              <w:rPr>
                <w:b/>
                <w:sz w:val="16"/>
                <w:szCs w:val="16"/>
              </w:rPr>
              <w:t>USD I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AA00F"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2AD05"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69745C1A"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E2FA2"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57619B1" w14:textId="77777777" w:rsidR="00AC68AD" w:rsidRPr="00E67B03" w:rsidRDefault="00AC68AD" w:rsidP="00FD3385">
            <w:pPr>
              <w:jc w:val="center"/>
              <w:rPr>
                <w:sz w:val="16"/>
                <w:szCs w:val="16"/>
              </w:rPr>
            </w:pPr>
            <w:r w:rsidRPr="00E67B03">
              <w:rPr>
                <w:sz w:val="16"/>
                <w:szCs w:val="16"/>
              </w:rPr>
              <w:t>$1,000,000</w:t>
            </w:r>
          </w:p>
        </w:tc>
        <w:tc>
          <w:tcPr>
            <w:tcW w:w="1698" w:type="dxa"/>
            <w:tcBorders>
              <w:top w:val="single" w:sz="4" w:space="0" w:color="auto"/>
              <w:left w:val="single" w:sz="4" w:space="0" w:color="auto"/>
              <w:bottom w:val="single" w:sz="4" w:space="0" w:color="auto"/>
            </w:tcBorders>
          </w:tcPr>
          <w:p w14:paraId="5EC46BD9" w14:textId="77777777" w:rsidR="00AC68AD" w:rsidRPr="00E67B03" w:rsidRDefault="00AC68AD" w:rsidP="00FD3385">
            <w:pPr>
              <w:jc w:val="center"/>
              <w:rPr>
                <w:sz w:val="16"/>
                <w:szCs w:val="16"/>
              </w:rPr>
            </w:pPr>
            <w:r w:rsidRPr="00E67B03">
              <w:rPr>
                <w:sz w:val="16"/>
                <w:szCs w:val="16"/>
              </w:rPr>
              <w:t>$1,000,000</w:t>
            </w:r>
          </w:p>
        </w:tc>
      </w:tr>
      <w:tr w:rsidR="00AC68AD" w:rsidRPr="00E67B03" w14:paraId="2D755E31"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81589AB" w14:textId="759B3AF4" w:rsidR="00AC68AD" w:rsidRPr="00E67B03" w:rsidRDefault="00AC68AD" w:rsidP="00FD3385">
            <w:pPr>
              <w:jc w:val="center"/>
              <w:rPr>
                <w:b/>
                <w:sz w:val="16"/>
                <w:szCs w:val="16"/>
              </w:rPr>
            </w:pPr>
            <w:r>
              <w:rPr>
                <w:b/>
                <w:sz w:val="16"/>
                <w:szCs w:val="16"/>
              </w:rPr>
              <w:lastRenderedPageBreak/>
              <w:t>AUD</w:t>
            </w:r>
            <w:r w:rsidRPr="00E67B03">
              <w:rPr>
                <w:b/>
                <w:sz w:val="16"/>
                <w:szCs w:val="16"/>
              </w:rPr>
              <w:t xml:space="preserve"> I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F4196" w14:textId="4DACB5CD" w:rsidR="00AC68AD" w:rsidRPr="00E67B03" w:rsidRDefault="00AC68AD" w:rsidP="00FD3385">
            <w:pPr>
              <w:jc w:val="center"/>
              <w:rPr>
                <w:sz w:val="16"/>
                <w:szCs w:val="16"/>
              </w:rPr>
            </w:pPr>
            <w:r>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31432" w14:textId="6EC70006"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021A9D81" w14:textId="6358C75C"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92173" w14:textId="5FE504E3"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29250C7A" w14:textId="170E318C" w:rsidR="00AC68AD" w:rsidRPr="00E67B03" w:rsidRDefault="00AC68AD" w:rsidP="00FD3385">
            <w:pPr>
              <w:jc w:val="center"/>
              <w:rPr>
                <w:sz w:val="16"/>
                <w:szCs w:val="16"/>
              </w:rPr>
            </w:pPr>
            <w:r>
              <w:rPr>
                <w:sz w:val="16"/>
                <w:szCs w:val="16"/>
              </w:rPr>
              <w:t>AUD</w:t>
            </w:r>
            <w:r w:rsidRPr="00E67B03">
              <w:rPr>
                <w:sz w:val="16"/>
                <w:szCs w:val="16"/>
              </w:rPr>
              <w:t>1,000,000</w:t>
            </w:r>
          </w:p>
        </w:tc>
        <w:tc>
          <w:tcPr>
            <w:tcW w:w="1698" w:type="dxa"/>
            <w:tcBorders>
              <w:top w:val="single" w:sz="4" w:space="0" w:color="auto"/>
              <w:left w:val="single" w:sz="4" w:space="0" w:color="auto"/>
              <w:bottom w:val="single" w:sz="4" w:space="0" w:color="auto"/>
            </w:tcBorders>
          </w:tcPr>
          <w:p w14:paraId="0D5C6AAE" w14:textId="64015051" w:rsidR="00AC68AD" w:rsidRPr="00E67B03" w:rsidRDefault="00AC68AD" w:rsidP="00FD3385">
            <w:pPr>
              <w:jc w:val="center"/>
              <w:rPr>
                <w:sz w:val="16"/>
                <w:szCs w:val="16"/>
              </w:rPr>
            </w:pPr>
            <w:r>
              <w:rPr>
                <w:sz w:val="16"/>
                <w:szCs w:val="16"/>
              </w:rPr>
              <w:t>AUD</w:t>
            </w:r>
            <w:r w:rsidRPr="00E67B03">
              <w:rPr>
                <w:sz w:val="16"/>
                <w:szCs w:val="16"/>
              </w:rPr>
              <w:t>1,000,000</w:t>
            </w:r>
          </w:p>
        </w:tc>
      </w:tr>
      <w:tr w:rsidR="001B2566" w:rsidRPr="00E67B03" w14:paraId="26060B95" w14:textId="77777777" w:rsidTr="004F2756">
        <w:trPr>
          <w:trHeight w:val="341"/>
        </w:trPr>
        <w:tc>
          <w:tcPr>
            <w:tcW w:w="9351" w:type="dxa"/>
            <w:gridSpan w:val="7"/>
            <w:tcBorders>
              <w:top w:val="single" w:sz="4" w:space="0" w:color="auto"/>
              <w:bottom w:val="single" w:sz="4" w:space="0" w:color="auto"/>
            </w:tcBorders>
            <w:tcMar>
              <w:top w:w="0" w:type="dxa"/>
              <w:left w:w="108" w:type="dxa"/>
              <w:bottom w:w="0" w:type="dxa"/>
              <w:right w:w="108" w:type="dxa"/>
            </w:tcMar>
          </w:tcPr>
          <w:p w14:paraId="594ACF78" w14:textId="2F609727" w:rsidR="001B2566" w:rsidRPr="001B2566" w:rsidRDefault="001B2566" w:rsidP="00FD3385">
            <w:pPr>
              <w:jc w:val="center"/>
              <w:rPr>
                <w:b/>
                <w:sz w:val="16"/>
                <w:szCs w:val="16"/>
              </w:rPr>
            </w:pPr>
            <w:r w:rsidRPr="001B2566">
              <w:rPr>
                <w:b/>
                <w:sz w:val="16"/>
                <w:szCs w:val="16"/>
              </w:rPr>
              <w:t>Performance Fee Classes</w:t>
            </w:r>
          </w:p>
        </w:tc>
      </w:tr>
      <w:tr w:rsidR="00AC68AD" w:rsidRPr="00E67B03" w14:paraId="1FFE630C"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A711B55" w14:textId="77777777" w:rsidR="00AC68AD" w:rsidRPr="00E67B03" w:rsidRDefault="00AC68AD" w:rsidP="00FD3385">
            <w:pPr>
              <w:jc w:val="center"/>
              <w:rPr>
                <w:b/>
                <w:sz w:val="16"/>
                <w:szCs w:val="16"/>
              </w:rPr>
            </w:pPr>
            <w:r w:rsidRPr="00E67B03">
              <w:rPr>
                <w:b/>
                <w:sz w:val="16"/>
                <w:szCs w:val="16"/>
              </w:rPr>
              <w:t>EUR P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EF0"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C22E5"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12F38123"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DC4E" w14:textId="06180E9B"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2E965D8"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4EF4CA36" w14:textId="77777777" w:rsidR="00AC68AD" w:rsidRPr="00E67B03" w:rsidRDefault="00AC68AD" w:rsidP="00FD3385">
            <w:pPr>
              <w:jc w:val="center"/>
              <w:rPr>
                <w:sz w:val="16"/>
                <w:szCs w:val="16"/>
              </w:rPr>
            </w:pPr>
            <w:r w:rsidRPr="00E67B03">
              <w:rPr>
                <w:sz w:val="16"/>
                <w:szCs w:val="16"/>
              </w:rPr>
              <w:t>€50,000</w:t>
            </w:r>
          </w:p>
        </w:tc>
      </w:tr>
      <w:tr w:rsidR="00AC68AD" w:rsidRPr="00E67B03" w14:paraId="639F439F"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7D2A7D47" w14:textId="77777777" w:rsidR="00AC68AD" w:rsidRPr="00E67B03" w:rsidRDefault="00AC68AD" w:rsidP="00FD3385">
            <w:pPr>
              <w:jc w:val="center"/>
              <w:rPr>
                <w:b/>
                <w:sz w:val="16"/>
                <w:szCs w:val="16"/>
              </w:rPr>
            </w:pPr>
            <w:r w:rsidRPr="00E67B03">
              <w:rPr>
                <w:b/>
                <w:sz w:val="16"/>
                <w:szCs w:val="16"/>
              </w:rPr>
              <w:t>GBP P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4F64A"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DAF39"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7597C724"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F9B13" w14:textId="48547690"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3AD106E"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215C0E59" w14:textId="77777777" w:rsidR="00AC68AD" w:rsidRPr="00E67B03" w:rsidRDefault="00AC68AD" w:rsidP="00FD3385">
            <w:pPr>
              <w:jc w:val="center"/>
              <w:rPr>
                <w:sz w:val="16"/>
                <w:szCs w:val="16"/>
              </w:rPr>
            </w:pPr>
            <w:r w:rsidRPr="00E67B03">
              <w:rPr>
                <w:sz w:val="16"/>
                <w:szCs w:val="16"/>
              </w:rPr>
              <w:t>£50,000</w:t>
            </w:r>
          </w:p>
        </w:tc>
      </w:tr>
      <w:tr w:rsidR="00AC68AD" w:rsidRPr="00E67B03" w14:paraId="0D58300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FF21C0D" w14:textId="77777777" w:rsidR="00AC68AD" w:rsidRPr="00E67B03" w:rsidRDefault="00AC68AD" w:rsidP="00FD3385">
            <w:pPr>
              <w:jc w:val="center"/>
              <w:rPr>
                <w:b/>
                <w:sz w:val="16"/>
                <w:szCs w:val="16"/>
              </w:rPr>
            </w:pPr>
            <w:r w:rsidRPr="00E67B03">
              <w:rPr>
                <w:b/>
                <w:sz w:val="16"/>
                <w:szCs w:val="16"/>
              </w:rPr>
              <w:t>CHF P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B1124"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E91F2"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3DF1C2D0"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B6D7D" w14:textId="444E4F35"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D3462FF" w14:textId="77777777" w:rsidR="00AC68AD" w:rsidRPr="00E67B03" w:rsidRDefault="00AC68AD" w:rsidP="00FD3385">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3DC6C3F4" w14:textId="77777777" w:rsidR="00AC68AD" w:rsidRPr="00E67B03" w:rsidRDefault="00AC68AD" w:rsidP="00FD3385">
            <w:pPr>
              <w:jc w:val="center"/>
              <w:rPr>
                <w:sz w:val="16"/>
                <w:szCs w:val="16"/>
              </w:rPr>
            </w:pPr>
            <w:r w:rsidRPr="00E67B03">
              <w:rPr>
                <w:sz w:val="16"/>
                <w:szCs w:val="16"/>
              </w:rPr>
              <w:t>CHF 50,000</w:t>
            </w:r>
          </w:p>
        </w:tc>
      </w:tr>
      <w:tr w:rsidR="00AC68AD" w:rsidRPr="00E67B03" w14:paraId="48DF8B2B"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B371B7E" w14:textId="77777777" w:rsidR="00AC68AD" w:rsidRPr="00E67B03" w:rsidRDefault="00AC68AD" w:rsidP="00FD3385">
            <w:pPr>
              <w:jc w:val="center"/>
              <w:rPr>
                <w:b/>
                <w:sz w:val="16"/>
                <w:szCs w:val="16"/>
              </w:rPr>
            </w:pPr>
            <w:r w:rsidRPr="00E67B03">
              <w:rPr>
                <w:b/>
                <w:sz w:val="16"/>
                <w:szCs w:val="16"/>
              </w:rPr>
              <w:t>USD P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664EC"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63C23"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5FAE02AC"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97958" w14:textId="6BA8E3B7"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DA0FE48"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3447FDC7" w14:textId="77777777" w:rsidR="00AC68AD" w:rsidRPr="00E67B03" w:rsidRDefault="00AC68AD" w:rsidP="00FD3385">
            <w:pPr>
              <w:jc w:val="center"/>
              <w:rPr>
                <w:sz w:val="16"/>
                <w:szCs w:val="16"/>
              </w:rPr>
            </w:pPr>
            <w:r w:rsidRPr="00E67B03">
              <w:rPr>
                <w:sz w:val="16"/>
                <w:szCs w:val="16"/>
              </w:rPr>
              <w:t>$50,000</w:t>
            </w:r>
          </w:p>
        </w:tc>
      </w:tr>
      <w:tr w:rsidR="00AC68AD" w:rsidRPr="00E67B03" w14:paraId="4F7083D0"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120F88A3" w14:textId="3053A2C8" w:rsidR="00AC68AD" w:rsidRPr="00E67B03" w:rsidRDefault="00AC68AD" w:rsidP="00FD3385">
            <w:pPr>
              <w:jc w:val="center"/>
              <w:rPr>
                <w:b/>
                <w:sz w:val="16"/>
                <w:szCs w:val="16"/>
              </w:rPr>
            </w:pPr>
            <w:r>
              <w:rPr>
                <w:b/>
                <w:sz w:val="16"/>
                <w:szCs w:val="16"/>
              </w:rPr>
              <w:t>AUD</w:t>
            </w:r>
            <w:r w:rsidRPr="00E67B03">
              <w:rPr>
                <w:b/>
                <w:sz w:val="16"/>
                <w:szCs w:val="16"/>
              </w:rPr>
              <w:t xml:space="preserve"> P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985B1" w14:textId="73784FA0" w:rsidR="00AC68AD" w:rsidRPr="00E67B03" w:rsidRDefault="00AC68AD" w:rsidP="00FD3385">
            <w:pPr>
              <w:jc w:val="center"/>
              <w:rPr>
                <w:sz w:val="16"/>
                <w:szCs w:val="16"/>
              </w:rPr>
            </w:pPr>
            <w:r>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015F" w14:textId="495174D5"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17D366B1" w14:textId="54FBE83E"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74B3A" w14:textId="09F62605" w:rsidR="00AC68AD" w:rsidRPr="00E67B03" w:rsidRDefault="00AC68AD" w:rsidP="00FD3385">
            <w:pPr>
              <w:jc w:val="center"/>
              <w:rPr>
                <w:sz w:val="16"/>
                <w:szCs w:val="16"/>
              </w:rPr>
            </w:pPr>
            <w:r w:rsidRPr="00E67B03">
              <w:rPr>
                <w:sz w:val="16"/>
                <w:szCs w:val="16"/>
              </w:rPr>
              <w:t>1</w:t>
            </w:r>
            <w:r w:rsidR="00E53779">
              <w:rPr>
                <w:sz w:val="16"/>
                <w:szCs w:val="16"/>
              </w:rPr>
              <w:t>5</w:t>
            </w:r>
            <w:r w:rsidRPr="00E67B03">
              <w:rPr>
                <w:sz w:val="16"/>
                <w:szCs w:val="16"/>
              </w:rPr>
              <w:t>% over benchmark</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2CADA904" w14:textId="6C31C6EA" w:rsidR="00AC68AD" w:rsidRPr="00E67B03" w:rsidRDefault="00AC68AD" w:rsidP="00FD3385">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1D39DA18" w14:textId="48CDD7B2" w:rsidR="00AC68AD" w:rsidRPr="00E67B03" w:rsidRDefault="00AC68AD" w:rsidP="00FD3385">
            <w:pPr>
              <w:jc w:val="center"/>
              <w:rPr>
                <w:sz w:val="16"/>
                <w:szCs w:val="16"/>
              </w:rPr>
            </w:pPr>
            <w:r>
              <w:rPr>
                <w:sz w:val="16"/>
                <w:szCs w:val="16"/>
              </w:rPr>
              <w:t>AUD</w:t>
            </w:r>
            <w:r w:rsidRPr="00E67B03">
              <w:rPr>
                <w:sz w:val="16"/>
                <w:szCs w:val="16"/>
              </w:rPr>
              <w:t>50,000</w:t>
            </w:r>
          </w:p>
        </w:tc>
      </w:tr>
      <w:tr w:rsidR="001B2566" w:rsidRPr="00E67B03" w14:paraId="25D6AA69" w14:textId="77777777" w:rsidTr="004F2756">
        <w:trPr>
          <w:trHeight w:val="325"/>
        </w:trPr>
        <w:tc>
          <w:tcPr>
            <w:tcW w:w="9351" w:type="dxa"/>
            <w:gridSpan w:val="7"/>
            <w:tcBorders>
              <w:top w:val="single" w:sz="4" w:space="0" w:color="auto"/>
              <w:bottom w:val="single" w:sz="4" w:space="0" w:color="auto"/>
            </w:tcBorders>
            <w:tcMar>
              <w:top w:w="0" w:type="dxa"/>
              <w:left w:w="108" w:type="dxa"/>
              <w:bottom w:w="0" w:type="dxa"/>
              <w:right w:w="108" w:type="dxa"/>
            </w:tcMar>
          </w:tcPr>
          <w:p w14:paraId="68372015" w14:textId="653AF446" w:rsidR="001B2566" w:rsidRPr="00F66186" w:rsidRDefault="00F66186" w:rsidP="00FD3385">
            <w:pPr>
              <w:jc w:val="center"/>
              <w:rPr>
                <w:b/>
                <w:sz w:val="16"/>
                <w:szCs w:val="16"/>
              </w:rPr>
            </w:pPr>
            <w:r>
              <w:rPr>
                <w:b/>
                <w:sz w:val="16"/>
                <w:szCs w:val="16"/>
              </w:rPr>
              <w:t>Retail 1</w:t>
            </w:r>
          </w:p>
        </w:tc>
      </w:tr>
      <w:tr w:rsidR="00AC68AD" w:rsidRPr="00E67B03" w14:paraId="25124812"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B6E0A4C" w14:textId="77777777" w:rsidR="00AC68AD" w:rsidRPr="00E67B03" w:rsidRDefault="00AC68AD" w:rsidP="00FD3385">
            <w:pPr>
              <w:jc w:val="center"/>
              <w:rPr>
                <w:b/>
                <w:sz w:val="16"/>
                <w:szCs w:val="16"/>
              </w:rPr>
            </w:pPr>
            <w:r w:rsidRPr="00E67B03">
              <w:rPr>
                <w:b/>
                <w:sz w:val="16"/>
                <w:szCs w:val="16"/>
              </w:rPr>
              <w:t>EUR R1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D962"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66407"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5728106C" w14:textId="77777777"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ADBB2"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369B1B0C"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77697DF6" w14:textId="77777777" w:rsidR="00AC68AD" w:rsidRPr="00E67B03" w:rsidRDefault="00AC68AD" w:rsidP="00FD3385">
            <w:pPr>
              <w:jc w:val="center"/>
              <w:rPr>
                <w:sz w:val="16"/>
                <w:szCs w:val="16"/>
              </w:rPr>
            </w:pPr>
            <w:r w:rsidRPr="00E67B03">
              <w:rPr>
                <w:sz w:val="16"/>
                <w:szCs w:val="16"/>
              </w:rPr>
              <w:t>€50,000</w:t>
            </w:r>
          </w:p>
        </w:tc>
      </w:tr>
      <w:tr w:rsidR="00AC68AD" w:rsidRPr="00E67B03" w14:paraId="7F405944"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49639E33" w14:textId="77777777" w:rsidR="00AC68AD" w:rsidRPr="00E67B03" w:rsidRDefault="00AC68AD" w:rsidP="00FD3385">
            <w:pPr>
              <w:jc w:val="center"/>
              <w:rPr>
                <w:b/>
                <w:sz w:val="16"/>
                <w:szCs w:val="16"/>
              </w:rPr>
            </w:pPr>
            <w:r w:rsidRPr="00E67B03">
              <w:rPr>
                <w:b/>
                <w:sz w:val="16"/>
                <w:szCs w:val="16"/>
              </w:rPr>
              <w:lastRenderedPageBreak/>
              <w:t>GBP R1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8E532"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1CD7B"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52F493AA" w14:textId="77777777"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1D281"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B854801"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1327F721" w14:textId="77777777" w:rsidR="00AC68AD" w:rsidRPr="00E67B03" w:rsidRDefault="00AC68AD" w:rsidP="00FD3385">
            <w:pPr>
              <w:jc w:val="center"/>
              <w:rPr>
                <w:sz w:val="16"/>
                <w:szCs w:val="16"/>
              </w:rPr>
            </w:pPr>
            <w:r w:rsidRPr="00E67B03">
              <w:rPr>
                <w:sz w:val="16"/>
                <w:szCs w:val="16"/>
              </w:rPr>
              <w:t>£50,000</w:t>
            </w:r>
          </w:p>
        </w:tc>
      </w:tr>
      <w:tr w:rsidR="00AC68AD" w:rsidRPr="00E67B03" w14:paraId="31849A5C"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62AD9351" w14:textId="77777777" w:rsidR="00AC68AD" w:rsidRPr="00E67B03" w:rsidRDefault="00AC68AD" w:rsidP="00FD3385">
            <w:pPr>
              <w:jc w:val="center"/>
              <w:rPr>
                <w:b/>
                <w:sz w:val="16"/>
                <w:szCs w:val="16"/>
              </w:rPr>
            </w:pPr>
            <w:r w:rsidRPr="00E67B03">
              <w:rPr>
                <w:b/>
                <w:sz w:val="16"/>
                <w:szCs w:val="16"/>
              </w:rPr>
              <w:t>CHF R1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96FF4"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F0135"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1AEE30A3" w14:textId="77777777"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CA3A6"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BAEE741" w14:textId="77777777" w:rsidR="00AC68AD" w:rsidRPr="00E67B03" w:rsidRDefault="00AC68AD" w:rsidP="00FD3385">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0FEA7B30" w14:textId="77777777" w:rsidR="00AC68AD" w:rsidRPr="00E67B03" w:rsidRDefault="00AC68AD" w:rsidP="00FD3385">
            <w:pPr>
              <w:jc w:val="center"/>
              <w:rPr>
                <w:sz w:val="16"/>
                <w:szCs w:val="16"/>
              </w:rPr>
            </w:pPr>
            <w:r w:rsidRPr="00E67B03">
              <w:rPr>
                <w:sz w:val="16"/>
                <w:szCs w:val="16"/>
              </w:rPr>
              <w:t>CHF 50,000</w:t>
            </w:r>
          </w:p>
        </w:tc>
      </w:tr>
      <w:tr w:rsidR="00AC68AD" w:rsidRPr="00E67B03" w14:paraId="6C27783D"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47227E8F" w14:textId="77777777" w:rsidR="00AC68AD" w:rsidRPr="00E67B03" w:rsidRDefault="00AC68AD" w:rsidP="00FD3385">
            <w:pPr>
              <w:jc w:val="center"/>
              <w:rPr>
                <w:b/>
                <w:sz w:val="16"/>
                <w:szCs w:val="16"/>
              </w:rPr>
            </w:pPr>
            <w:r w:rsidRPr="00E67B03">
              <w:rPr>
                <w:b/>
                <w:sz w:val="16"/>
                <w:szCs w:val="16"/>
              </w:rPr>
              <w:t>USD R1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E0433"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907A" w14:textId="77777777"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571F3697" w14:textId="77777777"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E2761"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79B9A873"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6280396A" w14:textId="77777777" w:rsidR="00AC68AD" w:rsidRPr="00E67B03" w:rsidRDefault="00AC68AD" w:rsidP="00FD3385">
            <w:pPr>
              <w:jc w:val="center"/>
              <w:rPr>
                <w:sz w:val="16"/>
                <w:szCs w:val="16"/>
              </w:rPr>
            </w:pPr>
            <w:r w:rsidRPr="00E67B03">
              <w:rPr>
                <w:sz w:val="16"/>
                <w:szCs w:val="16"/>
              </w:rPr>
              <w:t>$50,000</w:t>
            </w:r>
          </w:p>
        </w:tc>
      </w:tr>
      <w:tr w:rsidR="00AC68AD" w:rsidRPr="00E67B03" w14:paraId="64DB15F5"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D72D0F9" w14:textId="4CB8AE11" w:rsidR="00AC68AD" w:rsidRPr="00E67B03" w:rsidRDefault="00AC68AD" w:rsidP="00FD3385">
            <w:pPr>
              <w:jc w:val="center"/>
              <w:rPr>
                <w:b/>
                <w:sz w:val="16"/>
                <w:szCs w:val="16"/>
              </w:rPr>
            </w:pPr>
            <w:r>
              <w:rPr>
                <w:b/>
                <w:sz w:val="16"/>
                <w:szCs w:val="16"/>
              </w:rPr>
              <w:t xml:space="preserve">AUD </w:t>
            </w:r>
            <w:r w:rsidRPr="00E67B03">
              <w:rPr>
                <w:b/>
                <w:sz w:val="16"/>
                <w:szCs w:val="16"/>
              </w:rPr>
              <w:t>R1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D546" w14:textId="7D51C0DB" w:rsidR="00AC68AD" w:rsidRPr="00E67B03" w:rsidRDefault="00AC68AD" w:rsidP="00FD3385">
            <w:pPr>
              <w:jc w:val="center"/>
              <w:rPr>
                <w:sz w:val="16"/>
                <w:szCs w:val="16"/>
              </w:rPr>
            </w:pPr>
            <w:r>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8D72F" w14:textId="1A51232D" w:rsidR="00AC68AD" w:rsidRPr="00E67B03" w:rsidRDefault="00AC68AD" w:rsidP="00FD3385">
            <w:pPr>
              <w:jc w:val="center"/>
              <w:rPr>
                <w:sz w:val="16"/>
                <w:szCs w:val="16"/>
              </w:rPr>
            </w:pPr>
            <w:r w:rsidRPr="00E67B03">
              <w:rPr>
                <w:sz w:val="16"/>
                <w:szCs w:val="16"/>
              </w:rPr>
              <w:t>Up to 0.75% of NAV per annum</w:t>
            </w:r>
          </w:p>
        </w:tc>
        <w:tc>
          <w:tcPr>
            <w:tcW w:w="1135" w:type="dxa"/>
            <w:tcBorders>
              <w:top w:val="single" w:sz="4" w:space="0" w:color="auto"/>
              <w:left w:val="single" w:sz="4" w:space="0" w:color="auto"/>
              <w:bottom w:val="single" w:sz="4" w:space="0" w:color="auto"/>
              <w:right w:val="single" w:sz="4" w:space="0" w:color="auto"/>
            </w:tcBorders>
          </w:tcPr>
          <w:p w14:paraId="1B940815" w14:textId="35BF418D" w:rsidR="00AC68AD" w:rsidRPr="00E67B03" w:rsidRDefault="00AC68AD" w:rsidP="00FD3385">
            <w:pPr>
              <w:jc w:val="center"/>
              <w:rPr>
                <w:sz w:val="16"/>
                <w:szCs w:val="16"/>
              </w:rPr>
            </w:pPr>
            <w:r w:rsidRPr="00E67B03">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6D796" w14:textId="05428DA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368953AF" w14:textId="272F1BF1" w:rsidR="00AC68AD" w:rsidRPr="00E67B03" w:rsidRDefault="00AC68AD" w:rsidP="00FD3385">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4D5C3146" w14:textId="3C763F8E" w:rsidR="00AC68AD" w:rsidRPr="00E67B03" w:rsidRDefault="00AC68AD" w:rsidP="00FD3385">
            <w:pPr>
              <w:jc w:val="center"/>
              <w:rPr>
                <w:sz w:val="16"/>
                <w:szCs w:val="16"/>
              </w:rPr>
            </w:pPr>
            <w:r>
              <w:rPr>
                <w:sz w:val="16"/>
                <w:szCs w:val="16"/>
              </w:rPr>
              <w:t>AUD</w:t>
            </w:r>
            <w:r w:rsidRPr="00E67B03">
              <w:rPr>
                <w:sz w:val="16"/>
                <w:szCs w:val="16"/>
              </w:rPr>
              <w:t>50,000</w:t>
            </w:r>
          </w:p>
        </w:tc>
      </w:tr>
      <w:tr w:rsidR="00F66186" w:rsidRPr="00E67B03" w14:paraId="2AD6E5A3" w14:textId="77777777" w:rsidTr="004F2756">
        <w:trPr>
          <w:trHeight w:val="324"/>
        </w:trPr>
        <w:tc>
          <w:tcPr>
            <w:tcW w:w="9351" w:type="dxa"/>
            <w:gridSpan w:val="7"/>
            <w:tcBorders>
              <w:top w:val="single" w:sz="4" w:space="0" w:color="auto"/>
              <w:bottom w:val="single" w:sz="4" w:space="0" w:color="auto"/>
            </w:tcBorders>
            <w:tcMar>
              <w:top w:w="0" w:type="dxa"/>
              <w:left w:w="108" w:type="dxa"/>
              <w:bottom w:w="0" w:type="dxa"/>
              <w:right w:w="108" w:type="dxa"/>
            </w:tcMar>
          </w:tcPr>
          <w:p w14:paraId="22FBA432" w14:textId="2EF0F840" w:rsidR="00F66186" w:rsidRPr="00F66186" w:rsidRDefault="00F66186" w:rsidP="00FD3385">
            <w:pPr>
              <w:jc w:val="center"/>
              <w:rPr>
                <w:b/>
                <w:sz w:val="16"/>
                <w:szCs w:val="16"/>
              </w:rPr>
            </w:pPr>
            <w:r>
              <w:rPr>
                <w:b/>
                <w:sz w:val="16"/>
                <w:szCs w:val="16"/>
              </w:rPr>
              <w:t>Retail 2</w:t>
            </w:r>
          </w:p>
        </w:tc>
      </w:tr>
      <w:tr w:rsidR="00AC68AD" w:rsidRPr="00E67B03" w14:paraId="04BC125C"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B4D8CBD" w14:textId="77777777" w:rsidR="00AC68AD" w:rsidRPr="00E67B03" w:rsidRDefault="00AC68AD" w:rsidP="00FD3385">
            <w:pPr>
              <w:jc w:val="center"/>
              <w:rPr>
                <w:b/>
                <w:sz w:val="16"/>
                <w:szCs w:val="16"/>
              </w:rPr>
            </w:pPr>
            <w:r w:rsidRPr="00E67B03">
              <w:rPr>
                <w:b/>
                <w:sz w:val="16"/>
                <w:szCs w:val="16"/>
              </w:rPr>
              <w:t>EUR R2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CE116" w14:textId="77777777" w:rsidR="00AC68AD" w:rsidRPr="00E67B03" w:rsidRDefault="00AC68AD" w:rsidP="00FD3385">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926E2"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5D159B72"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93B1C"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145D5AB8"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5C6E0B80" w14:textId="77777777" w:rsidR="00AC68AD" w:rsidRPr="00E67B03" w:rsidRDefault="00AC68AD" w:rsidP="00FD3385">
            <w:pPr>
              <w:jc w:val="center"/>
              <w:rPr>
                <w:sz w:val="16"/>
                <w:szCs w:val="16"/>
              </w:rPr>
            </w:pPr>
            <w:r w:rsidRPr="00E67B03">
              <w:rPr>
                <w:sz w:val="16"/>
                <w:szCs w:val="16"/>
              </w:rPr>
              <w:t>€50,000</w:t>
            </w:r>
          </w:p>
        </w:tc>
      </w:tr>
      <w:tr w:rsidR="00AC68AD" w:rsidRPr="00E67B03" w14:paraId="6A7CFC30"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E18F344" w14:textId="77777777" w:rsidR="00AC68AD" w:rsidRPr="00E67B03" w:rsidRDefault="00AC68AD" w:rsidP="00FD3385">
            <w:pPr>
              <w:jc w:val="center"/>
              <w:rPr>
                <w:b/>
                <w:sz w:val="16"/>
                <w:szCs w:val="16"/>
              </w:rPr>
            </w:pPr>
            <w:r w:rsidRPr="00E67B03">
              <w:rPr>
                <w:b/>
                <w:sz w:val="16"/>
                <w:szCs w:val="16"/>
              </w:rPr>
              <w:t>GBP R2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9591C" w14:textId="77777777" w:rsidR="00AC68AD" w:rsidRPr="00E67B03" w:rsidRDefault="00AC68AD" w:rsidP="00FD3385">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F8F8"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7BAD0FCB"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3C673"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7820EC3C"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2213BE6C" w14:textId="77777777" w:rsidR="00AC68AD" w:rsidRPr="00E67B03" w:rsidRDefault="00AC68AD" w:rsidP="00FD3385">
            <w:pPr>
              <w:jc w:val="center"/>
              <w:rPr>
                <w:sz w:val="16"/>
                <w:szCs w:val="16"/>
              </w:rPr>
            </w:pPr>
            <w:r w:rsidRPr="00E67B03">
              <w:rPr>
                <w:sz w:val="16"/>
                <w:szCs w:val="16"/>
              </w:rPr>
              <w:t>£50,000</w:t>
            </w:r>
          </w:p>
        </w:tc>
      </w:tr>
      <w:tr w:rsidR="00AC68AD" w:rsidRPr="00E67B03" w14:paraId="50D5B12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7E3BE2A" w14:textId="77777777" w:rsidR="00AC68AD" w:rsidRPr="00E67B03" w:rsidRDefault="00AC68AD" w:rsidP="00FD3385">
            <w:pPr>
              <w:jc w:val="center"/>
              <w:rPr>
                <w:b/>
                <w:sz w:val="16"/>
                <w:szCs w:val="16"/>
              </w:rPr>
            </w:pPr>
            <w:r w:rsidRPr="00E67B03">
              <w:rPr>
                <w:b/>
                <w:sz w:val="16"/>
                <w:szCs w:val="16"/>
              </w:rPr>
              <w:t>CHF R2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32D58" w14:textId="77777777" w:rsidR="00AC68AD" w:rsidRPr="00E67B03" w:rsidRDefault="00AC68AD" w:rsidP="00FD3385">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A413A"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1775012D"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ACA2D"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EEB0E57" w14:textId="77777777" w:rsidR="00AC68AD" w:rsidRPr="00E67B03" w:rsidRDefault="00AC68AD" w:rsidP="00FD3385">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7A921251" w14:textId="77777777" w:rsidR="00AC68AD" w:rsidRPr="00E67B03" w:rsidRDefault="00AC68AD" w:rsidP="00FD3385">
            <w:pPr>
              <w:jc w:val="center"/>
              <w:rPr>
                <w:sz w:val="16"/>
                <w:szCs w:val="16"/>
              </w:rPr>
            </w:pPr>
            <w:r w:rsidRPr="00E67B03">
              <w:rPr>
                <w:sz w:val="16"/>
                <w:szCs w:val="16"/>
              </w:rPr>
              <w:t>CHF 50,000</w:t>
            </w:r>
          </w:p>
        </w:tc>
      </w:tr>
      <w:tr w:rsidR="00AC68AD" w:rsidRPr="00E67B03" w14:paraId="259E74B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0F9E53C" w14:textId="77777777" w:rsidR="00AC68AD" w:rsidRPr="00E67B03" w:rsidRDefault="00AC68AD" w:rsidP="00FD3385">
            <w:pPr>
              <w:jc w:val="center"/>
              <w:rPr>
                <w:b/>
                <w:sz w:val="16"/>
                <w:szCs w:val="16"/>
              </w:rPr>
            </w:pPr>
            <w:r w:rsidRPr="00E67B03">
              <w:rPr>
                <w:b/>
                <w:sz w:val="16"/>
                <w:szCs w:val="16"/>
              </w:rPr>
              <w:t>USD R2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EDE2" w14:textId="77777777" w:rsidR="00AC68AD" w:rsidRPr="00E67B03" w:rsidRDefault="00AC68AD" w:rsidP="00FD3385">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300F6" w14:textId="77777777" w:rsidR="00AC68AD" w:rsidRPr="00E67B03" w:rsidRDefault="00AC68AD" w:rsidP="00FD3385">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5B28C657" w14:textId="77777777" w:rsidR="00AC68AD" w:rsidRPr="00E67B03" w:rsidRDefault="00AC68AD" w:rsidP="00FD3385">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E3E0" w14:textId="77777777" w:rsidR="00AC68AD" w:rsidRPr="00E67B03" w:rsidRDefault="00AC68AD" w:rsidP="00FD3385">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352BF446" w14:textId="77777777" w:rsidR="00AC68AD" w:rsidRPr="00E67B03" w:rsidRDefault="00AC68AD" w:rsidP="00FD3385">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7246EA7B" w14:textId="77777777" w:rsidR="00AC68AD" w:rsidRPr="00E67B03" w:rsidRDefault="00AC68AD" w:rsidP="00FD3385">
            <w:pPr>
              <w:jc w:val="center"/>
              <w:rPr>
                <w:sz w:val="16"/>
                <w:szCs w:val="16"/>
              </w:rPr>
            </w:pPr>
            <w:r w:rsidRPr="00E67B03">
              <w:rPr>
                <w:sz w:val="16"/>
                <w:szCs w:val="16"/>
              </w:rPr>
              <w:t>$50,000</w:t>
            </w:r>
          </w:p>
        </w:tc>
      </w:tr>
      <w:tr w:rsidR="00AC68AD" w:rsidRPr="00E67B03" w14:paraId="28FACAA7"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41EA13F1" w14:textId="5D935D1C" w:rsidR="00AC68AD" w:rsidRPr="00E67B03" w:rsidRDefault="00AC68AD" w:rsidP="009F63D8">
            <w:pPr>
              <w:jc w:val="center"/>
              <w:rPr>
                <w:b/>
                <w:sz w:val="16"/>
                <w:szCs w:val="16"/>
              </w:rPr>
            </w:pPr>
            <w:r>
              <w:rPr>
                <w:b/>
                <w:sz w:val="16"/>
                <w:szCs w:val="16"/>
              </w:rPr>
              <w:lastRenderedPageBreak/>
              <w:t>AUD</w:t>
            </w:r>
            <w:r w:rsidRPr="00E67B03">
              <w:rPr>
                <w:b/>
                <w:sz w:val="16"/>
                <w:szCs w:val="16"/>
              </w:rPr>
              <w:t xml:space="preserve"> R2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BD745" w14:textId="1C8B2C8D" w:rsidR="00AC68AD" w:rsidRPr="00E67B03" w:rsidRDefault="00AC68AD" w:rsidP="009F63D8">
            <w:pPr>
              <w:jc w:val="center"/>
              <w:rPr>
                <w:sz w:val="16"/>
                <w:szCs w:val="16"/>
              </w:rPr>
            </w:pPr>
            <w:r>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0B1C7" w14:textId="266E216B" w:rsidR="00AC68AD" w:rsidRPr="00E67B03" w:rsidRDefault="00AC68AD" w:rsidP="009F63D8">
            <w:pPr>
              <w:jc w:val="center"/>
              <w:rPr>
                <w:sz w:val="16"/>
                <w:szCs w:val="16"/>
              </w:rPr>
            </w:pPr>
            <w:r w:rsidRPr="00E67B03">
              <w:rPr>
                <w:sz w:val="16"/>
                <w:szCs w:val="16"/>
              </w:rPr>
              <w:t>Up to 1.50% of NAV per annum</w:t>
            </w:r>
          </w:p>
        </w:tc>
        <w:tc>
          <w:tcPr>
            <w:tcW w:w="1135" w:type="dxa"/>
            <w:tcBorders>
              <w:top w:val="single" w:sz="4" w:space="0" w:color="auto"/>
              <w:left w:val="single" w:sz="4" w:space="0" w:color="auto"/>
              <w:bottom w:val="single" w:sz="4" w:space="0" w:color="auto"/>
              <w:right w:val="single" w:sz="4" w:space="0" w:color="auto"/>
            </w:tcBorders>
          </w:tcPr>
          <w:p w14:paraId="5B40F070" w14:textId="6A04D30C" w:rsidR="00AC68AD" w:rsidRPr="00E67B03" w:rsidRDefault="00AC68AD" w:rsidP="009F63D8">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EE06" w14:textId="562150A5" w:rsidR="00AC68AD" w:rsidRPr="00E67B03" w:rsidRDefault="00AC68AD" w:rsidP="009F63D8">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63C4742" w14:textId="5CD0B76E" w:rsidR="00AC68AD" w:rsidRPr="00E67B03" w:rsidRDefault="00AC68AD" w:rsidP="009F63D8">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518651BE" w14:textId="04B42429" w:rsidR="00AC68AD" w:rsidRPr="00E67B03" w:rsidRDefault="00AC68AD" w:rsidP="009F63D8">
            <w:pPr>
              <w:jc w:val="center"/>
              <w:rPr>
                <w:sz w:val="16"/>
                <w:szCs w:val="16"/>
              </w:rPr>
            </w:pPr>
            <w:r>
              <w:rPr>
                <w:sz w:val="16"/>
                <w:szCs w:val="16"/>
              </w:rPr>
              <w:t>AUD</w:t>
            </w:r>
            <w:r w:rsidRPr="00E67B03">
              <w:rPr>
                <w:sz w:val="16"/>
                <w:szCs w:val="16"/>
              </w:rPr>
              <w:t>50,000</w:t>
            </w:r>
          </w:p>
        </w:tc>
      </w:tr>
      <w:tr w:rsidR="00F66186" w:rsidRPr="00E67B03" w14:paraId="0F33128A" w14:textId="77777777" w:rsidTr="004F2756">
        <w:trPr>
          <w:trHeight w:val="397"/>
        </w:trPr>
        <w:tc>
          <w:tcPr>
            <w:tcW w:w="9351" w:type="dxa"/>
            <w:gridSpan w:val="7"/>
            <w:tcBorders>
              <w:top w:val="single" w:sz="4" w:space="0" w:color="auto"/>
              <w:bottom w:val="single" w:sz="4" w:space="0" w:color="auto"/>
            </w:tcBorders>
            <w:tcMar>
              <w:top w:w="0" w:type="dxa"/>
              <w:left w:w="108" w:type="dxa"/>
              <w:bottom w:w="0" w:type="dxa"/>
              <w:right w:w="108" w:type="dxa"/>
            </w:tcMar>
          </w:tcPr>
          <w:p w14:paraId="0BE9461A" w14:textId="3B8B057C" w:rsidR="00F66186" w:rsidRPr="00F66186" w:rsidRDefault="00F66186" w:rsidP="009F63D8">
            <w:pPr>
              <w:jc w:val="center"/>
              <w:rPr>
                <w:b/>
                <w:sz w:val="16"/>
                <w:szCs w:val="16"/>
              </w:rPr>
            </w:pPr>
            <w:r>
              <w:rPr>
                <w:b/>
                <w:sz w:val="16"/>
                <w:szCs w:val="16"/>
              </w:rPr>
              <w:t>Retail 3</w:t>
            </w:r>
          </w:p>
        </w:tc>
      </w:tr>
      <w:tr w:rsidR="00AC68AD" w:rsidRPr="00E67B03" w14:paraId="54241F4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E509629" w14:textId="77777777" w:rsidR="00AC68AD" w:rsidRPr="00E67B03" w:rsidRDefault="00AC68AD" w:rsidP="009F63D8">
            <w:pPr>
              <w:jc w:val="center"/>
              <w:rPr>
                <w:b/>
                <w:sz w:val="16"/>
                <w:szCs w:val="16"/>
              </w:rPr>
            </w:pPr>
            <w:r>
              <w:rPr>
                <w:b/>
                <w:sz w:val="16"/>
                <w:szCs w:val="16"/>
              </w:rPr>
              <w:t>EUR R3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D5552" w14:textId="77777777" w:rsidR="00AC68AD" w:rsidRPr="00E67B03" w:rsidRDefault="00AC68AD" w:rsidP="009F63D8">
            <w:pPr>
              <w:jc w:val="center"/>
              <w:rPr>
                <w:sz w:val="16"/>
                <w:szCs w:val="16"/>
              </w:rPr>
            </w:pPr>
            <w:r w:rsidRPr="00E67B03">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8B5FF" w14:textId="77777777" w:rsidR="00AC68AD" w:rsidRPr="00E67B03" w:rsidRDefault="00AC68AD" w:rsidP="009F63D8">
            <w:pPr>
              <w:jc w:val="center"/>
              <w:rPr>
                <w:sz w:val="16"/>
                <w:szCs w:val="16"/>
              </w:rPr>
            </w:pPr>
            <w:r w:rsidRPr="00E67B03">
              <w:rPr>
                <w:sz w:val="16"/>
                <w:szCs w:val="16"/>
              </w:rPr>
              <w:t xml:space="preserve">Up to </w:t>
            </w:r>
            <w:r>
              <w:rPr>
                <w:sz w:val="16"/>
                <w:szCs w:val="16"/>
              </w:rPr>
              <w:t>1.50%</w:t>
            </w:r>
            <w:r w:rsidRPr="00E67B03">
              <w:rPr>
                <w:sz w:val="16"/>
                <w:szCs w:val="16"/>
              </w:rPr>
              <w:t xml:space="preserve"> of NAV per annum</w:t>
            </w:r>
          </w:p>
        </w:tc>
        <w:tc>
          <w:tcPr>
            <w:tcW w:w="1135" w:type="dxa"/>
            <w:tcBorders>
              <w:top w:val="single" w:sz="4" w:space="0" w:color="auto"/>
              <w:left w:val="single" w:sz="4" w:space="0" w:color="auto"/>
              <w:bottom w:val="single" w:sz="4" w:space="0" w:color="auto"/>
              <w:right w:val="single" w:sz="4" w:space="0" w:color="auto"/>
            </w:tcBorders>
          </w:tcPr>
          <w:p w14:paraId="0EDAC09F" w14:textId="77777777" w:rsidR="00AC68AD" w:rsidRPr="00E67B03" w:rsidRDefault="00AC68AD" w:rsidP="009F63D8">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C4416" w14:textId="77777777" w:rsidR="00AC68AD" w:rsidRPr="00E67B03" w:rsidRDefault="00AC68AD" w:rsidP="009F63D8">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4C6D0643" w14:textId="77777777" w:rsidR="00AC68AD" w:rsidRPr="00E67B03" w:rsidRDefault="00AC68AD" w:rsidP="009F63D8">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0D96255D" w14:textId="77777777" w:rsidR="00AC68AD" w:rsidRPr="00E67B03" w:rsidRDefault="00AC68AD" w:rsidP="009F63D8">
            <w:pPr>
              <w:jc w:val="center"/>
              <w:rPr>
                <w:sz w:val="16"/>
                <w:szCs w:val="16"/>
              </w:rPr>
            </w:pPr>
            <w:r w:rsidRPr="00E67B03">
              <w:rPr>
                <w:sz w:val="16"/>
                <w:szCs w:val="16"/>
              </w:rPr>
              <w:t>€50,000</w:t>
            </w:r>
          </w:p>
        </w:tc>
      </w:tr>
      <w:tr w:rsidR="00AC68AD" w:rsidRPr="00E67B03" w14:paraId="431B6B47"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8D0AD01" w14:textId="77777777" w:rsidR="00AC68AD" w:rsidRPr="00E67B03" w:rsidRDefault="00AC68AD" w:rsidP="009F63D8">
            <w:pPr>
              <w:jc w:val="center"/>
              <w:rPr>
                <w:b/>
                <w:sz w:val="16"/>
                <w:szCs w:val="16"/>
              </w:rPr>
            </w:pPr>
            <w:r>
              <w:rPr>
                <w:b/>
                <w:sz w:val="16"/>
                <w:szCs w:val="16"/>
              </w:rPr>
              <w:t>GBP R3</w:t>
            </w:r>
            <w:r w:rsidRPr="00E67B03">
              <w:rPr>
                <w:b/>
                <w:sz w:val="16"/>
                <w:szCs w:val="16"/>
              </w:rPr>
              <w:t xml:space="preserve"> </w:t>
            </w:r>
            <w:r>
              <w:rPr>
                <w:b/>
                <w:sz w:val="16"/>
                <w:szCs w:val="16"/>
              </w:rPr>
              <w:t>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9BA68" w14:textId="77777777" w:rsidR="00AC68AD" w:rsidRPr="00E67B03" w:rsidRDefault="00AC68AD" w:rsidP="009F63D8">
            <w:pPr>
              <w:jc w:val="center"/>
              <w:rPr>
                <w:sz w:val="16"/>
                <w:szCs w:val="16"/>
              </w:rPr>
            </w:pPr>
            <w:r w:rsidRPr="00E67B03">
              <w:rPr>
                <w:sz w:val="16"/>
                <w:szCs w:val="16"/>
              </w:rPr>
              <w:t>GBP</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79A4" w14:textId="77777777" w:rsidR="00AC68AD" w:rsidRPr="00E67B03" w:rsidRDefault="00AC68AD" w:rsidP="009F63D8">
            <w:pPr>
              <w:jc w:val="center"/>
              <w:rPr>
                <w:sz w:val="16"/>
                <w:szCs w:val="16"/>
              </w:rPr>
            </w:pPr>
            <w:r w:rsidRPr="00E67B03">
              <w:rPr>
                <w:sz w:val="16"/>
                <w:szCs w:val="16"/>
              </w:rPr>
              <w:t xml:space="preserve">Up to </w:t>
            </w:r>
            <w:r>
              <w:rPr>
                <w:sz w:val="16"/>
                <w:szCs w:val="16"/>
              </w:rPr>
              <w:t>1.50%</w:t>
            </w:r>
            <w:r w:rsidRPr="00E67B03">
              <w:rPr>
                <w:sz w:val="16"/>
                <w:szCs w:val="16"/>
              </w:rPr>
              <w:t xml:space="preserve"> of NAV per annum</w:t>
            </w:r>
          </w:p>
        </w:tc>
        <w:tc>
          <w:tcPr>
            <w:tcW w:w="1135" w:type="dxa"/>
            <w:tcBorders>
              <w:top w:val="single" w:sz="4" w:space="0" w:color="auto"/>
              <w:left w:val="single" w:sz="4" w:space="0" w:color="auto"/>
              <w:bottom w:val="single" w:sz="4" w:space="0" w:color="auto"/>
              <w:right w:val="single" w:sz="4" w:space="0" w:color="auto"/>
            </w:tcBorders>
          </w:tcPr>
          <w:p w14:paraId="1CE65648" w14:textId="77777777" w:rsidR="00AC68AD" w:rsidRPr="00E67B03" w:rsidRDefault="00AC68AD" w:rsidP="009F63D8">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8C97E" w14:textId="77777777" w:rsidR="00AC68AD" w:rsidRPr="00E67B03" w:rsidRDefault="00AC68AD" w:rsidP="009F63D8">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9A6CF99" w14:textId="77777777" w:rsidR="00AC68AD" w:rsidRPr="00E67B03" w:rsidRDefault="00AC68AD" w:rsidP="009F63D8">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6F76FED7" w14:textId="77777777" w:rsidR="00AC68AD" w:rsidRPr="00E67B03" w:rsidRDefault="00AC68AD" w:rsidP="009F63D8">
            <w:pPr>
              <w:jc w:val="center"/>
              <w:rPr>
                <w:sz w:val="16"/>
                <w:szCs w:val="16"/>
              </w:rPr>
            </w:pPr>
            <w:r w:rsidRPr="00E67B03">
              <w:rPr>
                <w:sz w:val="16"/>
                <w:szCs w:val="16"/>
              </w:rPr>
              <w:t>£50,000</w:t>
            </w:r>
          </w:p>
        </w:tc>
      </w:tr>
      <w:tr w:rsidR="00AC68AD" w:rsidRPr="00E67B03" w14:paraId="0976EE4C"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0DEF4F4C" w14:textId="77777777" w:rsidR="00AC68AD" w:rsidRPr="00E67B03" w:rsidRDefault="00AC68AD" w:rsidP="009F63D8">
            <w:pPr>
              <w:jc w:val="center"/>
              <w:rPr>
                <w:b/>
                <w:sz w:val="16"/>
                <w:szCs w:val="16"/>
              </w:rPr>
            </w:pPr>
            <w:r>
              <w:rPr>
                <w:b/>
                <w:sz w:val="16"/>
                <w:szCs w:val="16"/>
              </w:rPr>
              <w:t>CHF R3 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1DB8B" w14:textId="77777777" w:rsidR="00AC68AD" w:rsidRPr="00E67B03" w:rsidRDefault="00AC68AD" w:rsidP="009F63D8">
            <w:pPr>
              <w:jc w:val="center"/>
              <w:rPr>
                <w:sz w:val="16"/>
                <w:szCs w:val="16"/>
              </w:rPr>
            </w:pPr>
            <w:r w:rsidRPr="00E67B03">
              <w:rPr>
                <w:sz w:val="16"/>
                <w:szCs w:val="16"/>
              </w:rPr>
              <w:t>CHF</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D6AC" w14:textId="77777777" w:rsidR="00AC68AD" w:rsidRPr="00E67B03" w:rsidRDefault="00AC68AD" w:rsidP="009F63D8">
            <w:pPr>
              <w:jc w:val="center"/>
              <w:rPr>
                <w:sz w:val="16"/>
                <w:szCs w:val="16"/>
              </w:rPr>
            </w:pPr>
            <w:r w:rsidRPr="00E67B03">
              <w:rPr>
                <w:sz w:val="16"/>
                <w:szCs w:val="16"/>
              </w:rPr>
              <w:t xml:space="preserve">Up to </w:t>
            </w:r>
            <w:r>
              <w:rPr>
                <w:sz w:val="16"/>
                <w:szCs w:val="16"/>
              </w:rPr>
              <w:t>1.50%</w:t>
            </w:r>
            <w:r w:rsidRPr="00E67B03">
              <w:rPr>
                <w:sz w:val="16"/>
                <w:szCs w:val="16"/>
              </w:rPr>
              <w:t xml:space="preserve"> of NAV per annum</w:t>
            </w:r>
          </w:p>
        </w:tc>
        <w:tc>
          <w:tcPr>
            <w:tcW w:w="1135" w:type="dxa"/>
            <w:tcBorders>
              <w:top w:val="single" w:sz="4" w:space="0" w:color="auto"/>
              <w:left w:val="single" w:sz="4" w:space="0" w:color="auto"/>
              <w:bottom w:val="single" w:sz="4" w:space="0" w:color="auto"/>
              <w:right w:val="single" w:sz="4" w:space="0" w:color="auto"/>
            </w:tcBorders>
          </w:tcPr>
          <w:p w14:paraId="486E5D46" w14:textId="77777777" w:rsidR="00AC68AD" w:rsidRPr="00E67B03" w:rsidRDefault="00AC68AD" w:rsidP="009F63D8">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D29A2" w14:textId="77777777" w:rsidR="00AC68AD" w:rsidRPr="00E67B03" w:rsidRDefault="00AC68AD" w:rsidP="009F63D8">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27331893" w14:textId="77777777" w:rsidR="00AC68AD" w:rsidRPr="00E67B03" w:rsidRDefault="00AC68AD" w:rsidP="009F63D8">
            <w:pPr>
              <w:jc w:val="center"/>
              <w:rPr>
                <w:sz w:val="16"/>
                <w:szCs w:val="16"/>
              </w:rPr>
            </w:pPr>
            <w:r w:rsidRPr="00E67B03">
              <w:rPr>
                <w:sz w:val="16"/>
                <w:szCs w:val="16"/>
              </w:rPr>
              <w:t>CHF 50,000</w:t>
            </w:r>
          </w:p>
        </w:tc>
        <w:tc>
          <w:tcPr>
            <w:tcW w:w="1698" w:type="dxa"/>
            <w:tcBorders>
              <w:top w:val="single" w:sz="4" w:space="0" w:color="auto"/>
              <w:left w:val="single" w:sz="4" w:space="0" w:color="auto"/>
              <w:bottom w:val="single" w:sz="4" w:space="0" w:color="auto"/>
            </w:tcBorders>
          </w:tcPr>
          <w:p w14:paraId="6E428861" w14:textId="77777777" w:rsidR="00AC68AD" w:rsidRPr="00E67B03" w:rsidRDefault="00AC68AD" w:rsidP="009F63D8">
            <w:pPr>
              <w:jc w:val="center"/>
              <w:rPr>
                <w:sz w:val="16"/>
                <w:szCs w:val="16"/>
              </w:rPr>
            </w:pPr>
            <w:r w:rsidRPr="00E67B03">
              <w:rPr>
                <w:sz w:val="16"/>
                <w:szCs w:val="16"/>
              </w:rPr>
              <w:t>CHF 50,000</w:t>
            </w:r>
          </w:p>
        </w:tc>
      </w:tr>
      <w:tr w:rsidR="00AC68AD" w:rsidRPr="00E67B03" w14:paraId="4075AAAF"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32A0933B" w14:textId="77777777" w:rsidR="00AC68AD" w:rsidRPr="00E67B03" w:rsidRDefault="00AC68AD" w:rsidP="009F63D8">
            <w:pPr>
              <w:jc w:val="center"/>
              <w:rPr>
                <w:b/>
                <w:sz w:val="16"/>
                <w:szCs w:val="16"/>
              </w:rPr>
            </w:pPr>
            <w:r>
              <w:rPr>
                <w:b/>
                <w:sz w:val="16"/>
                <w:szCs w:val="16"/>
              </w:rPr>
              <w:t>USD R3</w:t>
            </w:r>
            <w:r w:rsidRPr="00E67B03">
              <w:rPr>
                <w:b/>
                <w:sz w:val="16"/>
                <w:szCs w:val="16"/>
              </w:rPr>
              <w:t xml:space="preserve"> </w:t>
            </w:r>
            <w:r>
              <w:rPr>
                <w:b/>
                <w:sz w:val="16"/>
                <w:szCs w:val="16"/>
              </w:rPr>
              <w:t>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D0C0F" w14:textId="77777777" w:rsidR="00AC68AD" w:rsidRPr="00E67B03" w:rsidRDefault="00AC68AD" w:rsidP="009F63D8">
            <w:pPr>
              <w:jc w:val="center"/>
              <w:rPr>
                <w:sz w:val="16"/>
                <w:szCs w:val="16"/>
              </w:rPr>
            </w:pPr>
            <w:r w:rsidRPr="00E67B03">
              <w:rPr>
                <w:sz w:val="16"/>
                <w:szCs w:val="16"/>
              </w:rPr>
              <w:t>USD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CDDA9" w14:textId="77777777" w:rsidR="00AC68AD" w:rsidRPr="00E67B03" w:rsidRDefault="00AC68AD" w:rsidP="009F63D8">
            <w:pPr>
              <w:jc w:val="center"/>
              <w:rPr>
                <w:sz w:val="16"/>
                <w:szCs w:val="16"/>
              </w:rPr>
            </w:pPr>
            <w:r w:rsidRPr="00E67B03">
              <w:rPr>
                <w:sz w:val="16"/>
                <w:szCs w:val="16"/>
              </w:rPr>
              <w:t xml:space="preserve">Up to </w:t>
            </w:r>
            <w:r>
              <w:rPr>
                <w:sz w:val="16"/>
                <w:szCs w:val="16"/>
              </w:rPr>
              <w:t>1.50%</w:t>
            </w:r>
            <w:r w:rsidRPr="00E67B03">
              <w:rPr>
                <w:sz w:val="16"/>
                <w:szCs w:val="16"/>
              </w:rPr>
              <w:t xml:space="preserve"> of NAV per annum</w:t>
            </w:r>
          </w:p>
        </w:tc>
        <w:tc>
          <w:tcPr>
            <w:tcW w:w="1135" w:type="dxa"/>
            <w:tcBorders>
              <w:top w:val="single" w:sz="4" w:space="0" w:color="auto"/>
              <w:left w:val="single" w:sz="4" w:space="0" w:color="auto"/>
              <w:bottom w:val="single" w:sz="4" w:space="0" w:color="auto"/>
              <w:right w:val="single" w:sz="4" w:space="0" w:color="auto"/>
            </w:tcBorders>
          </w:tcPr>
          <w:p w14:paraId="6B7053EA" w14:textId="77777777" w:rsidR="00AC68AD" w:rsidRPr="00E67B03" w:rsidRDefault="00AC68AD" w:rsidP="009F63D8">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028B3" w14:textId="77777777" w:rsidR="00AC68AD" w:rsidRPr="00E67B03" w:rsidRDefault="00AC68AD" w:rsidP="009F63D8">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51363C0F" w14:textId="77777777" w:rsidR="00AC68AD" w:rsidRPr="00E67B03" w:rsidRDefault="00AC68AD" w:rsidP="009F63D8">
            <w:pPr>
              <w:jc w:val="center"/>
              <w:rPr>
                <w:sz w:val="16"/>
                <w:szCs w:val="16"/>
              </w:rPr>
            </w:pPr>
            <w:r w:rsidRPr="00E67B03">
              <w:rPr>
                <w:sz w:val="16"/>
                <w:szCs w:val="16"/>
              </w:rPr>
              <w:t>$50,000</w:t>
            </w:r>
          </w:p>
        </w:tc>
        <w:tc>
          <w:tcPr>
            <w:tcW w:w="1698" w:type="dxa"/>
            <w:tcBorders>
              <w:top w:val="single" w:sz="4" w:space="0" w:color="auto"/>
              <w:left w:val="single" w:sz="4" w:space="0" w:color="auto"/>
              <w:bottom w:val="single" w:sz="4" w:space="0" w:color="auto"/>
            </w:tcBorders>
          </w:tcPr>
          <w:p w14:paraId="28AAEDE8" w14:textId="77777777" w:rsidR="00AC68AD" w:rsidRPr="00E67B03" w:rsidRDefault="00AC68AD" w:rsidP="009F63D8">
            <w:pPr>
              <w:jc w:val="center"/>
              <w:rPr>
                <w:sz w:val="16"/>
                <w:szCs w:val="16"/>
              </w:rPr>
            </w:pPr>
            <w:r w:rsidRPr="00E67B03">
              <w:rPr>
                <w:sz w:val="16"/>
                <w:szCs w:val="16"/>
              </w:rPr>
              <w:t>$50,000</w:t>
            </w:r>
          </w:p>
        </w:tc>
      </w:tr>
      <w:tr w:rsidR="00AC68AD" w:rsidRPr="00E67B03" w14:paraId="7E915E90"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58B15978" w14:textId="46AF51F6" w:rsidR="00AC68AD" w:rsidRDefault="00AC68AD" w:rsidP="009F63D8">
            <w:pPr>
              <w:jc w:val="center"/>
              <w:rPr>
                <w:b/>
                <w:sz w:val="16"/>
                <w:szCs w:val="16"/>
              </w:rPr>
            </w:pPr>
            <w:r>
              <w:rPr>
                <w:b/>
                <w:sz w:val="16"/>
                <w:szCs w:val="16"/>
              </w:rPr>
              <w:t>AUD R3</w:t>
            </w:r>
            <w:r w:rsidRPr="00E67B03">
              <w:rPr>
                <w:b/>
                <w:sz w:val="16"/>
                <w:szCs w:val="16"/>
              </w:rPr>
              <w:t xml:space="preserve"> </w:t>
            </w:r>
            <w:r>
              <w:rPr>
                <w:b/>
                <w:sz w:val="16"/>
                <w:szCs w:val="16"/>
              </w:rPr>
              <w:t>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22830" w14:textId="1F4B41EE" w:rsidR="00AC68AD" w:rsidRPr="00E67B03" w:rsidRDefault="00AC68AD" w:rsidP="009F63D8">
            <w:pPr>
              <w:jc w:val="center"/>
              <w:rPr>
                <w:sz w:val="16"/>
                <w:szCs w:val="16"/>
              </w:rPr>
            </w:pPr>
            <w:r>
              <w:rPr>
                <w:sz w:val="16"/>
                <w:szCs w:val="16"/>
              </w:rPr>
              <w:t>AUD</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C684F" w14:textId="01C5F4B8" w:rsidR="00AC68AD" w:rsidRPr="00E67B03" w:rsidRDefault="00AC68AD" w:rsidP="009F63D8">
            <w:pPr>
              <w:jc w:val="center"/>
              <w:rPr>
                <w:sz w:val="16"/>
                <w:szCs w:val="16"/>
              </w:rPr>
            </w:pPr>
            <w:r w:rsidRPr="00E67B03">
              <w:rPr>
                <w:sz w:val="16"/>
                <w:szCs w:val="16"/>
              </w:rPr>
              <w:t xml:space="preserve">Up to </w:t>
            </w:r>
            <w:r>
              <w:rPr>
                <w:sz w:val="16"/>
                <w:szCs w:val="16"/>
              </w:rPr>
              <w:t>1.50%</w:t>
            </w:r>
            <w:r w:rsidRPr="00E67B03">
              <w:rPr>
                <w:sz w:val="16"/>
                <w:szCs w:val="16"/>
              </w:rPr>
              <w:t xml:space="preserve"> of NAV per annum</w:t>
            </w:r>
          </w:p>
        </w:tc>
        <w:tc>
          <w:tcPr>
            <w:tcW w:w="1135" w:type="dxa"/>
            <w:tcBorders>
              <w:top w:val="single" w:sz="4" w:space="0" w:color="auto"/>
              <w:left w:val="single" w:sz="4" w:space="0" w:color="auto"/>
              <w:bottom w:val="single" w:sz="4" w:space="0" w:color="auto"/>
              <w:right w:val="single" w:sz="4" w:space="0" w:color="auto"/>
            </w:tcBorders>
          </w:tcPr>
          <w:p w14:paraId="13AA61B0" w14:textId="2249EF58" w:rsidR="00AC68AD" w:rsidRPr="00E67B03" w:rsidRDefault="00AC68AD" w:rsidP="009F63D8">
            <w:pPr>
              <w:jc w:val="center"/>
              <w:rPr>
                <w:sz w:val="16"/>
                <w:szCs w:val="16"/>
              </w:rPr>
            </w:pPr>
            <w:r w:rsidRPr="00E67B03">
              <w:rPr>
                <w:sz w:val="16"/>
                <w:szCs w:val="16"/>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26AC0" w14:textId="096FB4CD" w:rsidR="00AC68AD" w:rsidRPr="00E67B03" w:rsidRDefault="00AC68AD" w:rsidP="009F63D8">
            <w:pPr>
              <w:jc w:val="center"/>
              <w:rPr>
                <w:sz w:val="16"/>
                <w:szCs w:val="16"/>
              </w:rPr>
            </w:pPr>
            <w:r w:rsidRPr="00E67B03">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6275F8BC" w14:textId="36CBD95E" w:rsidR="00AC68AD" w:rsidRPr="00E67B03" w:rsidRDefault="00AC68AD" w:rsidP="009F63D8">
            <w:pPr>
              <w:jc w:val="center"/>
              <w:rPr>
                <w:sz w:val="16"/>
                <w:szCs w:val="16"/>
              </w:rPr>
            </w:pPr>
            <w:r>
              <w:rPr>
                <w:sz w:val="16"/>
                <w:szCs w:val="16"/>
              </w:rPr>
              <w:t>AUD</w:t>
            </w:r>
            <w:r w:rsidRPr="00E67B03">
              <w:rPr>
                <w:sz w:val="16"/>
                <w:szCs w:val="16"/>
              </w:rPr>
              <w:t>50,000</w:t>
            </w:r>
          </w:p>
        </w:tc>
        <w:tc>
          <w:tcPr>
            <w:tcW w:w="1698" w:type="dxa"/>
            <w:tcBorders>
              <w:top w:val="single" w:sz="4" w:space="0" w:color="auto"/>
              <w:left w:val="single" w:sz="4" w:space="0" w:color="auto"/>
              <w:bottom w:val="single" w:sz="4" w:space="0" w:color="auto"/>
            </w:tcBorders>
          </w:tcPr>
          <w:p w14:paraId="62D41E0A" w14:textId="495F1A7A" w:rsidR="00AC68AD" w:rsidRPr="00E67B03" w:rsidRDefault="00AC68AD" w:rsidP="009F63D8">
            <w:pPr>
              <w:jc w:val="center"/>
              <w:rPr>
                <w:sz w:val="16"/>
                <w:szCs w:val="16"/>
              </w:rPr>
            </w:pPr>
            <w:r>
              <w:rPr>
                <w:sz w:val="16"/>
                <w:szCs w:val="16"/>
              </w:rPr>
              <w:t>AUD</w:t>
            </w:r>
            <w:r w:rsidRPr="00E67B03">
              <w:rPr>
                <w:sz w:val="16"/>
                <w:szCs w:val="16"/>
              </w:rPr>
              <w:t>50,000</w:t>
            </w:r>
          </w:p>
        </w:tc>
      </w:tr>
      <w:tr w:rsidR="00862D2F" w:rsidRPr="00E67B03" w14:paraId="39B3CFAD" w14:textId="77777777" w:rsidTr="00862D2F">
        <w:trPr>
          <w:trHeight w:val="60"/>
        </w:trPr>
        <w:tc>
          <w:tcPr>
            <w:tcW w:w="9351" w:type="dxa"/>
            <w:gridSpan w:val="7"/>
            <w:tcBorders>
              <w:top w:val="single" w:sz="4" w:space="0" w:color="auto"/>
              <w:bottom w:val="single" w:sz="4" w:space="0" w:color="auto"/>
            </w:tcBorders>
            <w:tcMar>
              <w:top w:w="0" w:type="dxa"/>
              <w:left w:w="108" w:type="dxa"/>
              <w:bottom w:w="0" w:type="dxa"/>
              <w:right w:w="108" w:type="dxa"/>
            </w:tcMar>
          </w:tcPr>
          <w:p w14:paraId="022D854D" w14:textId="77777777" w:rsidR="00862D2F" w:rsidRDefault="00862D2F" w:rsidP="00862D2F">
            <w:pPr>
              <w:jc w:val="center"/>
              <w:rPr>
                <w:b/>
                <w:sz w:val="16"/>
                <w:szCs w:val="16"/>
              </w:rPr>
            </w:pPr>
            <w:r>
              <w:rPr>
                <w:b/>
                <w:sz w:val="16"/>
                <w:szCs w:val="16"/>
              </w:rPr>
              <w:t>Retail 4</w:t>
            </w:r>
          </w:p>
          <w:p w14:paraId="2A5FD67A" w14:textId="77909EEB" w:rsidR="00862D2F" w:rsidRPr="00862D2F" w:rsidRDefault="00862D2F" w:rsidP="00862D2F">
            <w:pPr>
              <w:jc w:val="center"/>
              <w:rPr>
                <w:b/>
                <w:sz w:val="16"/>
                <w:szCs w:val="16"/>
              </w:rPr>
            </w:pPr>
          </w:p>
        </w:tc>
      </w:tr>
      <w:tr w:rsidR="00862D2F" w:rsidRPr="00E67B03" w14:paraId="23696E63"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43C4CA71" w14:textId="77777777" w:rsidR="00862D2F" w:rsidRDefault="00862D2F" w:rsidP="009F63D8">
            <w:pPr>
              <w:jc w:val="center"/>
              <w:rPr>
                <w:b/>
                <w:sz w:val="16"/>
                <w:szCs w:val="16"/>
              </w:rPr>
            </w:pPr>
            <w:r>
              <w:rPr>
                <w:b/>
                <w:sz w:val="16"/>
                <w:szCs w:val="16"/>
              </w:rPr>
              <w:t xml:space="preserve">EUR R4 </w:t>
            </w:r>
          </w:p>
          <w:p w14:paraId="1BE0A893" w14:textId="7865EFAE" w:rsidR="00862D2F" w:rsidRDefault="00862D2F" w:rsidP="009F63D8">
            <w:pPr>
              <w:jc w:val="center"/>
              <w:rPr>
                <w:b/>
                <w:sz w:val="16"/>
                <w:szCs w:val="16"/>
              </w:rPr>
            </w:pPr>
            <w:r>
              <w:rPr>
                <w:b/>
                <w:sz w:val="16"/>
                <w:szCs w:val="16"/>
              </w:rPr>
              <w:t>Distributing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FDF34" w14:textId="40515C8F" w:rsidR="00862D2F" w:rsidRDefault="00862D2F" w:rsidP="009F63D8">
            <w:pPr>
              <w:jc w:val="center"/>
              <w:rPr>
                <w:sz w:val="16"/>
                <w:szCs w:val="16"/>
              </w:rPr>
            </w:pPr>
            <w:r>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29287" w14:textId="11786B68" w:rsidR="00862D2F" w:rsidRPr="00E67B03" w:rsidRDefault="00862D2F" w:rsidP="009F63D8">
            <w:pPr>
              <w:jc w:val="center"/>
              <w:rPr>
                <w:sz w:val="16"/>
                <w:szCs w:val="16"/>
              </w:rPr>
            </w:pPr>
            <w:r w:rsidRPr="00E67B03">
              <w:rPr>
                <w:sz w:val="16"/>
                <w:szCs w:val="16"/>
              </w:rPr>
              <w:t xml:space="preserve">Up to </w:t>
            </w:r>
            <w:r>
              <w:rPr>
                <w:sz w:val="16"/>
                <w:szCs w:val="16"/>
              </w:rPr>
              <w:t>1.50%</w:t>
            </w:r>
            <w:r w:rsidRPr="00E67B03">
              <w:rPr>
                <w:sz w:val="16"/>
                <w:szCs w:val="16"/>
              </w:rPr>
              <w:t xml:space="preserve"> of NAV per annum</w:t>
            </w:r>
          </w:p>
        </w:tc>
        <w:tc>
          <w:tcPr>
            <w:tcW w:w="1135" w:type="dxa"/>
            <w:tcBorders>
              <w:top w:val="single" w:sz="4" w:space="0" w:color="auto"/>
              <w:left w:val="single" w:sz="4" w:space="0" w:color="auto"/>
              <w:bottom w:val="single" w:sz="4" w:space="0" w:color="auto"/>
              <w:right w:val="single" w:sz="4" w:space="0" w:color="auto"/>
            </w:tcBorders>
          </w:tcPr>
          <w:p w14:paraId="758C0734" w14:textId="74FDD6AA" w:rsidR="00862D2F" w:rsidRPr="00E67B03" w:rsidRDefault="00862D2F" w:rsidP="009F63D8">
            <w:pPr>
              <w:jc w:val="center"/>
              <w:rPr>
                <w:sz w:val="16"/>
                <w:szCs w:val="16"/>
              </w:rPr>
            </w:pPr>
            <w:r>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D3EA5" w14:textId="3822DCA7" w:rsidR="00862D2F" w:rsidRPr="00E67B03" w:rsidRDefault="00862D2F" w:rsidP="009F63D8">
            <w:pPr>
              <w:jc w:val="center"/>
              <w:rPr>
                <w:sz w:val="16"/>
                <w:szCs w:val="16"/>
              </w:rPr>
            </w:pPr>
            <w:r>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6958F104" w14:textId="01DDDF60" w:rsidR="00862D2F" w:rsidRDefault="00E855FE" w:rsidP="00E855FE">
            <w:pPr>
              <w:jc w:val="center"/>
              <w:rPr>
                <w:sz w:val="16"/>
                <w:szCs w:val="16"/>
              </w:rPr>
            </w:pPr>
            <w:r>
              <w:rPr>
                <w:sz w:val="16"/>
                <w:szCs w:val="16"/>
              </w:rPr>
              <w:t>€1</w:t>
            </w:r>
            <w:r w:rsidR="00862D2F" w:rsidRPr="00E67B03">
              <w:rPr>
                <w:sz w:val="16"/>
                <w:szCs w:val="16"/>
              </w:rPr>
              <w:t>,000</w:t>
            </w:r>
          </w:p>
        </w:tc>
        <w:tc>
          <w:tcPr>
            <w:tcW w:w="1698" w:type="dxa"/>
            <w:tcBorders>
              <w:top w:val="single" w:sz="4" w:space="0" w:color="auto"/>
              <w:left w:val="single" w:sz="4" w:space="0" w:color="auto"/>
              <w:bottom w:val="single" w:sz="4" w:space="0" w:color="auto"/>
            </w:tcBorders>
          </w:tcPr>
          <w:p w14:paraId="142325AF" w14:textId="74B1442C" w:rsidR="00862D2F" w:rsidRDefault="0017415D" w:rsidP="00262AA5">
            <w:pPr>
              <w:jc w:val="center"/>
              <w:rPr>
                <w:sz w:val="16"/>
                <w:szCs w:val="16"/>
              </w:rPr>
            </w:pPr>
            <w:r w:rsidRPr="00E67B03">
              <w:rPr>
                <w:sz w:val="16"/>
                <w:szCs w:val="16"/>
              </w:rPr>
              <w:t>€</w:t>
            </w:r>
            <w:r w:rsidR="00262AA5">
              <w:rPr>
                <w:sz w:val="16"/>
                <w:szCs w:val="16"/>
              </w:rPr>
              <w:t>1,000</w:t>
            </w:r>
          </w:p>
        </w:tc>
      </w:tr>
      <w:tr w:rsidR="00862D2F" w:rsidRPr="00E67B03" w14:paraId="145BA136" w14:textId="77777777" w:rsidTr="00EC2858">
        <w:trPr>
          <w:trHeight w:val="1577"/>
        </w:trPr>
        <w:tc>
          <w:tcPr>
            <w:tcW w:w="1298" w:type="dxa"/>
            <w:tcBorders>
              <w:top w:val="single" w:sz="4" w:space="0" w:color="auto"/>
              <w:bottom w:val="single" w:sz="4" w:space="0" w:color="auto"/>
              <w:right w:val="single" w:sz="4" w:space="0" w:color="auto"/>
            </w:tcBorders>
            <w:tcMar>
              <w:top w:w="0" w:type="dxa"/>
              <w:left w:w="108" w:type="dxa"/>
              <w:bottom w:w="0" w:type="dxa"/>
              <w:right w:w="108" w:type="dxa"/>
            </w:tcMar>
          </w:tcPr>
          <w:p w14:paraId="795F5824" w14:textId="77777777" w:rsidR="00862D2F" w:rsidRDefault="00862D2F" w:rsidP="00862D2F">
            <w:pPr>
              <w:jc w:val="center"/>
              <w:rPr>
                <w:b/>
                <w:sz w:val="16"/>
                <w:szCs w:val="16"/>
              </w:rPr>
            </w:pPr>
            <w:r>
              <w:rPr>
                <w:b/>
                <w:sz w:val="16"/>
                <w:szCs w:val="16"/>
              </w:rPr>
              <w:lastRenderedPageBreak/>
              <w:t xml:space="preserve">EUR R4 </w:t>
            </w:r>
          </w:p>
          <w:p w14:paraId="4CA740E4" w14:textId="4F0608A1" w:rsidR="00862D2F" w:rsidRDefault="00862D2F" w:rsidP="00862D2F">
            <w:pPr>
              <w:jc w:val="center"/>
              <w:rPr>
                <w:b/>
                <w:sz w:val="16"/>
                <w:szCs w:val="16"/>
              </w:rPr>
            </w:pPr>
            <w:r>
              <w:rPr>
                <w:b/>
                <w:sz w:val="16"/>
                <w:szCs w:val="16"/>
              </w:rPr>
              <w:t>Distributing (Hedged)</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3EF9" w14:textId="4D50186B" w:rsidR="00862D2F" w:rsidRDefault="00862D2F" w:rsidP="009F63D8">
            <w:pPr>
              <w:jc w:val="center"/>
              <w:rPr>
                <w:sz w:val="16"/>
                <w:szCs w:val="16"/>
              </w:rPr>
            </w:pPr>
            <w:r>
              <w:rPr>
                <w:sz w:val="16"/>
                <w:szCs w:val="16"/>
              </w:rPr>
              <w:t>EUR</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9AF9F" w14:textId="453C0A9C" w:rsidR="00862D2F" w:rsidRPr="00E67B03" w:rsidRDefault="00862D2F" w:rsidP="009F63D8">
            <w:pPr>
              <w:jc w:val="center"/>
              <w:rPr>
                <w:sz w:val="16"/>
                <w:szCs w:val="16"/>
              </w:rPr>
            </w:pPr>
            <w:r w:rsidRPr="00E67B03">
              <w:rPr>
                <w:sz w:val="16"/>
                <w:szCs w:val="16"/>
              </w:rPr>
              <w:t xml:space="preserve">Up to </w:t>
            </w:r>
            <w:r>
              <w:rPr>
                <w:sz w:val="16"/>
                <w:szCs w:val="16"/>
              </w:rPr>
              <w:t>1.50%</w:t>
            </w:r>
            <w:r w:rsidRPr="00E67B03">
              <w:rPr>
                <w:sz w:val="16"/>
                <w:szCs w:val="16"/>
              </w:rPr>
              <w:t xml:space="preserve"> of NAV per annum</w:t>
            </w:r>
          </w:p>
        </w:tc>
        <w:tc>
          <w:tcPr>
            <w:tcW w:w="1135" w:type="dxa"/>
            <w:tcBorders>
              <w:top w:val="single" w:sz="4" w:space="0" w:color="auto"/>
              <w:left w:val="single" w:sz="4" w:space="0" w:color="auto"/>
              <w:bottom w:val="single" w:sz="4" w:space="0" w:color="auto"/>
              <w:right w:val="single" w:sz="4" w:space="0" w:color="auto"/>
            </w:tcBorders>
          </w:tcPr>
          <w:p w14:paraId="63234671" w14:textId="6FEBA530" w:rsidR="00862D2F" w:rsidRPr="00E67B03" w:rsidRDefault="00862D2F" w:rsidP="009F63D8">
            <w:pPr>
              <w:jc w:val="center"/>
              <w:rPr>
                <w:sz w:val="16"/>
                <w:szCs w:val="16"/>
              </w:rPr>
            </w:pPr>
            <w:r>
              <w:rPr>
                <w:sz w:val="16"/>
                <w:szCs w:val="16"/>
              </w:rPr>
              <w:t>0.75%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25B87" w14:textId="505F96CC" w:rsidR="00862D2F" w:rsidRPr="00E67B03" w:rsidRDefault="00862D2F" w:rsidP="009F63D8">
            <w:pPr>
              <w:jc w:val="center"/>
              <w:rPr>
                <w:sz w:val="16"/>
                <w:szCs w:val="16"/>
              </w:rPr>
            </w:pPr>
            <w:r>
              <w:rPr>
                <w:sz w:val="16"/>
                <w:szCs w:val="16"/>
              </w:rPr>
              <w:t>0%</w:t>
            </w:r>
          </w:p>
        </w:tc>
        <w:tc>
          <w:tcPr>
            <w:tcW w:w="1279" w:type="dxa"/>
            <w:tcBorders>
              <w:top w:val="single" w:sz="4" w:space="0" w:color="auto"/>
              <w:left w:val="single" w:sz="4" w:space="0" w:color="auto"/>
              <w:bottom w:val="single" w:sz="4" w:space="0" w:color="auto"/>
            </w:tcBorders>
            <w:tcMar>
              <w:top w:w="0" w:type="dxa"/>
              <w:left w:w="108" w:type="dxa"/>
              <w:bottom w:w="0" w:type="dxa"/>
              <w:right w:w="108" w:type="dxa"/>
            </w:tcMar>
          </w:tcPr>
          <w:p w14:paraId="018E3B44" w14:textId="5561844B" w:rsidR="00862D2F" w:rsidRDefault="00E855FE" w:rsidP="00E855FE">
            <w:pPr>
              <w:jc w:val="center"/>
              <w:rPr>
                <w:sz w:val="16"/>
                <w:szCs w:val="16"/>
              </w:rPr>
            </w:pPr>
            <w:r>
              <w:rPr>
                <w:sz w:val="16"/>
                <w:szCs w:val="16"/>
              </w:rPr>
              <w:t>€1</w:t>
            </w:r>
            <w:r w:rsidR="00862D2F" w:rsidRPr="00E67B03">
              <w:rPr>
                <w:sz w:val="16"/>
                <w:szCs w:val="16"/>
              </w:rPr>
              <w:t>,000</w:t>
            </w:r>
          </w:p>
        </w:tc>
        <w:tc>
          <w:tcPr>
            <w:tcW w:w="1698" w:type="dxa"/>
            <w:tcBorders>
              <w:top w:val="single" w:sz="4" w:space="0" w:color="auto"/>
              <w:left w:val="single" w:sz="4" w:space="0" w:color="auto"/>
              <w:bottom w:val="single" w:sz="4" w:space="0" w:color="auto"/>
            </w:tcBorders>
          </w:tcPr>
          <w:p w14:paraId="48843E6C" w14:textId="06826DA3" w:rsidR="00862D2F" w:rsidRDefault="0017415D" w:rsidP="00262AA5">
            <w:pPr>
              <w:jc w:val="center"/>
              <w:rPr>
                <w:sz w:val="16"/>
                <w:szCs w:val="16"/>
              </w:rPr>
            </w:pPr>
            <w:r w:rsidRPr="00E67B03">
              <w:rPr>
                <w:sz w:val="16"/>
                <w:szCs w:val="16"/>
              </w:rPr>
              <w:t>€</w:t>
            </w:r>
            <w:r w:rsidR="00262AA5">
              <w:rPr>
                <w:sz w:val="16"/>
                <w:szCs w:val="16"/>
              </w:rPr>
              <w:t>1,000</w:t>
            </w:r>
          </w:p>
        </w:tc>
      </w:tr>
    </w:tbl>
    <w:p w14:paraId="7D21C766" w14:textId="5AA0B8A0" w:rsidR="00FD3385" w:rsidRDefault="00FD3385" w:rsidP="00FD3385">
      <w:pPr>
        <w:rPr>
          <w:szCs w:val="24"/>
        </w:rPr>
      </w:pPr>
    </w:p>
    <w:p w14:paraId="63165F30" w14:textId="725EE833" w:rsidR="001024E8" w:rsidRDefault="001024E8" w:rsidP="00FD3385">
      <w:pPr>
        <w:rPr>
          <w:szCs w:val="24"/>
        </w:rPr>
      </w:pPr>
    </w:p>
    <w:p w14:paraId="38311090" w14:textId="77777777" w:rsidR="001024E8" w:rsidRDefault="001024E8" w:rsidP="00FD3385">
      <w:pPr>
        <w:rPr>
          <w:szCs w:val="24"/>
        </w:rPr>
      </w:pPr>
    </w:p>
    <w:p w14:paraId="13EB8D5E" w14:textId="62638AD1" w:rsidR="00FD3385" w:rsidRDefault="00FD3385" w:rsidP="00FD3385">
      <w:pPr>
        <w:rPr>
          <w:szCs w:val="24"/>
        </w:rPr>
      </w:pPr>
      <w:r>
        <w:rPr>
          <w:szCs w:val="24"/>
        </w:rPr>
        <w:t xml:space="preserve">* The Directors may, in </w:t>
      </w:r>
      <w:r w:rsidR="009D047F">
        <w:rPr>
          <w:szCs w:val="24"/>
        </w:rPr>
        <w:t>consultation with the Manager</w:t>
      </w:r>
      <w:r>
        <w:rPr>
          <w:szCs w:val="24"/>
        </w:rPr>
        <w:t>, waive the Minimum Initial Subscription and Minimum Holding for each Class of Shares.</w:t>
      </w:r>
    </w:p>
    <w:p w14:paraId="4E9B059F" w14:textId="77777777" w:rsidR="00FD3385" w:rsidRDefault="00FD3385" w:rsidP="00FD3385">
      <w:pPr>
        <w:rPr>
          <w:szCs w:val="24"/>
        </w:rPr>
      </w:pPr>
    </w:p>
    <w:p w14:paraId="2C3380A0" w14:textId="4BBBC778" w:rsidR="00FD3385" w:rsidRDefault="00FD3385" w:rsidP="00FD3385">
      <w:pPr>
        <w:rPr>
          <w:rFonts w:cs="Arial"/>
        </w:rPr>
      </w:pPr>
      <w:r w:rsidRPr="00812036">
        <w:rPr>
          <w:rFonts w:cs="Arial"/>
        </w:rPr>
        <w:t>A subscription charge of up to 5% of the subscription amount may apply in respect to Z Classes</w:t>
      </w:r>
      <w:r w:rsidR="00DF7F67">
        <w:rPr>
          <w:rFonts w:cs="Arial"/>
        </w:rPr>
        <w:t>, E C</w:t>
      </w:r>
      <w:r w:rsidR="00A01AEC">
        <w:rPr>
          <w:rFonts w:cs="Arial"/>
        </w:rPr>
        <w:t>lasses</w:t>
      </w:r>
      <w:r w:rsidRPr="00812036">
        <w:rPr>
          <w:rFonts w:cs="Arial"/>
        </w:rPr>
        <w:t>, P</w:t>
      </w:r>
      <w:r w:rsidR="00DF7F67">
        <w:rPr>
          <w:rFonts w:cs="Arial"/>
        </w:rPr>
        <w:t>erformance C</w:t>
      </w:r>
      <w:r>
        <w:rPr>
          <w:rFonts w:cs="Arial"/>
        </w:rPr>
        <w:t>lasses and Retail</w:t>
      </w:r>
      <w:r w:rsidR="00DF7F67">
        <w:rPr>
          <w:rFonts w:cs="Arial"/>
        </w:rPr>
        <w:t xml:space="preserve"> 1</w:t>
      </w:r>
      <w:r>
        <w:rPr>
          <w:rFonts w:cs="Arial"/>
        </w:rPr>
        <w:t xml:space="preserve"> Classes</w:t>
      </w:r>
      <w:r w:rsidR="00DF7F67">
        <w:rPr>
          <w:rFonts w:cs="Arial"/>
        </w:rPr>
        <w:t>, Retail 2 Classes, Retail 3 Classes and Retail 4 Classes</w:t>
      </w:r>
      <w:r w:rsidRPr="00812036">
        <w:rPr>
          <w:rFonts w:cs="Arial"/>
        </w:rPr>
        <w:t>. No subscription charge shall apply in respect of I Classes</w:t>
      </w:r>
      <w:r>
        <w:rPr>
          <w:rFonts w:cs="Arial"/>
        </w:rPr>
        <w:t xml:space="preserve">. </w:t>
      </w:r>
    </w:p>
    <w:p w14:paraId="4EDA4820" w14:textId="77777777" w:rsidR="00FD3385" w:rsidRDefault="00FD3385" w:rsidP="00FD3385">
      <w:pPr>
        <w:rPr>
          <w:rFonts w:cs="Arial"/>
        </w:rPr>
      </w:pPr>
    </w:p>
    <w:p w14:paraId="7E44D5EC" w14:textId="15167DB5" w:rsidR="005841CF" w:rsidRDefault="00FD3385" w:rsidP="005841CF">
      <w:pPr>
        <w:rPr>
          <w:rFonts w:cs="Arial"/>
        </w:rPr>
      </w:pPr>
      <w:r w:rsidRPr="00AC68AD">
        <w:rPr>
          <w:rFonts w:cs="Arial"/>
        </w:rPr>
        <w:t>The Directors may</w:t>
      </w:r>
      <w:r w:rsidR="001663D8">
        <w:rPr>
          <w:rFonts w:cs="Arial"/>
        </w:rPr>
        <w:t>, in consultation with the Manager,</w:t>
      </w:r>
      <w:r w:rsidRPr="00AC68AD">
        <w:rPr>
          <w:rFonts w:cs="Arial"/>
        </w:rPr>
        <w:t xml:space="preserve"> determine to limit the availability of Retail 2 Share Classes so that they are only available for investment by other Funds of the Company (in order to facilitate cross investment by such other Funds in a manner consistent with applicable regulatory requirements). In such case no subscription charge shall apply in respect of the Retail 2 Classes.</w:t>
      </w:r>
    </w:p>
    <w:p w14:paraId="6C4DEFCA" w14:textId="77777777" w:rsidR="005841CF" w:rsidRDefault="005841CF" w:rsidP="005841CF">
      <w:pPr>
        <w:rPr>
          <w:rFonts w:cs="Arial"/>
        </w:rPr>
      </w:pPr>
    </w:p>
    <w:p w14:paraId="77125173" w14:textId="0A7921D5" w:rsidR="009F63D8" w:rsidRPr="005841CF" w:rsidRDefault="009F63D8" w:rsidP="005841CF">
      <w:pPr>
        <w:rPr>
          <w:rFonts w:cs="Arial"/>
          <w:szCs w:val="24"/>
        </w:rPr>
      </w:pPr>
      <w:r>
        <w:rPr>
          <w:szCs w:val="24"/>
        </w:rPr>
        <w:t>The Base Currency of the Fund is US Dollars.  The Net Asset Value per Share of each relevant Class will be calculated in its currency of denomination.</w:t>
      </w:r>
      <w:r w:rsidRPr="00587B73">
        <w:rPr>
          <w:szCs w:val="24"/>
        </w:rPr>
        <w:t xml:space="preserve"> </w:t>
      </w:r>
      <w:r>
        <w:rPr>
          <w:szCs w:val="24"/>
        </w:rPr>
        <w:t xml:space="preserve"> </w:t>
      </w:r>
    </w:p>
    <w:p w14:paraId="61DE9453" w14:textId="182F6BE4" w:rsidR="00DE340A" w:rsidRPr="00470248" w:rsidRDefault="00DE340A" w:rsidP="0098344C">
      <w:pPr>
        <w:jc w:val="left"/>
        <w:rPr>
          <w:b/>
          <w:szCs w:val="24"/>
        </w:rPr>
      </w:pPr>
      <w:r w:rsidRPr="00470248">
        <w:rPr>
          <w:b/>
          <w:szCs w:val="24"/>
        </w:rPr>
        <w:br w:type="page"/>
      </w:r>
    </w:p>
    <w:p w14:paraId="32ED2405" w14:textId="77777777" w:rsidR="00662044" w:rsidRPr="00470248" w:rsidRDefault="00662044" w:rsidP="0098344C">
      <w:pPr>
        <w:rPr>
          <w:b/>
          <w:szCs w:val="24"/>
        </w:rPr>
      </w:pPr>
    </w:p>
    <w:p w14:paraId="29EE59D3" w14:textId="0887EC04" w:rsidR="00662044" w:rsidRPr="00470248" w:rsidRDefault="00662044" w:rsidP="0098344C">
      <w:pPr>
        <w:jc w:val="left"/>
        <w:rPr>
          <w:i/>
          <w:szCs w:val="24"/>
        </w:rPr>
      </w:pPr>
    </w:p>
    <w:p w14:paraId="37F8B657" w14:textId="77777777" w:rsidR="00662044" w:rsidRPr="00470248" w:rsidRDefault="00662044" w:rsidP="0098344C">
      <w:pPr>
        <w:pStyle w:val="PROSPECTUSSUMMARY-LEVEL1"/>
        <w:jc w:val="center"/>
        <w:rPr>
          <w:bCs/>
        </w:rPr>
      </w:pPr>
      <w:bookmarkStart w:id="11" w:name="_Toc416354287"/>
      <w:bookmarkStart w:id="12" w:name="_Toc184725734"/>
      <w:r w:rsidRPr="00470248">
        <w:rPr>
          <w:bCs/>
        </w:rPr>
        <w:t>Investment Objective and Policies</w:t>
      </w:r>
      <w:bookmarkEnd w:id="11"/>
      <w:bookmarkEnd w:id="12"/>
      <w:r w:rsidRPr="00470248">
        <w:rPr>
          <w:bCs/>
        </w:rPr>
        <w:t xml:space="preserve"> </w:t>
      </w:r>
    </w:p>
    <w:p w14:paraId="5B77F468" w14:textId="77777777" w:rsidR="00BD0016" w:rsidRPr="00470248" w:rsidRDefault="00BD0016" w:rsidP="0098344C">
      <w:pPr>
        <w:rPr>
          <w:rFonts w:eastAsia="SimSun"/>
          <w:b/>
          <w:sz w:val="22"/>
          <w:szCs w:val="22"/>
        </w:rPr>
      </w:pPr>
      <w:bookmarkStart w:id="13" w:name="_Hlk48130141"/>
      <w:r w:rsidRPr="00470248">
        <w:rPr>
          <w:rFonts w:eastAsia="SimSun"/>
          <w:b/>
          <w:sz w:val="22"/>
          <w:szCs w:val="22"/>
        </w:rPr>
        <w:t>Investment Objective</w:t>
      </w:r>
    </w:p>
    <w:p w14:paraId="6000D636" w14:textId="331F4E5A" w:rsidR="008F4883" w:rsidRDefault="00870C8E" w:rsidP="004D4CB6">
      <w:pPr>
        <w:spacing w:before="100" w:beforeAutospacing="1" w:after="100" w:afterAutospacing="1"/>
        <w:rPr>
          <w:rFonts w:cs="Arial"/>
        </w:rPr>
      </w:pPr>
      <w:r w:rsidRPr="009536E6">
        <w:rPr>
          <w:rFonts w:cs="Arial"/>
        </w:rPr>
        <w:t>T</w:t>
      </w:r>
      <w:r w:rsidR="00F97234" w:rsidRPr="009536E6">
        <w:rPr>
          <w:rFonts w:cs="Arial"/>
        </w:rPr>
        <w:t xml:space="preserve">he investment objective of the Fund is </w:t>
      </w:r>
      <w:r w:rsidRPr="009536E6">
        <w:rPr>
          <w:rFonts w:cs="Arial"/>
        </w:rPr>
        <w:t>to deliver</w:t>
      </w:r>
      <w:r w:rsidR="0097198F">
        <w:rPr>
          <w:rFonts w:cs="Arial"/>
        </w:rPr>
        <w:t xml:space="preserve"> </w:t>
      </w:r>
      <w:r w:rsidR="00D51F35">
        <w:rPr>
          <w:rFonts w:cs="Arial"/>
        </w:rPr>
        <w:t xml:space="preserve">long term </w:t>
      </w:r>
      <w:r w:rsidR="00F97234" w:rsidRPr="0098344C">
        <w:rPr>
          <w:rFonts w:cs="Arial"/>
        </w:rPr>
        <w:t xml:space="preserve">capital </w:t>
      </w:r>
      <w:r w:rsidR="004E6B24">
        <w:rPr>
          <w:rFonts w:cs="Arial"/>
        </w:rPr>
        <w:t>growth</w:t>
      </w:r>
      <w:r w:rsidR="006469BB">
        <w:rPr>
          <w:rFonts w:cs="Arial"/>
        </w:rPr>
        <w:t xml:space="preserve"> in USD</w:t>
      </w:r>
      <w:r w:rsidR="004E6B24">
        <w:rPr>
          <w:rFonts w:cs="Arial"/>
        </w:rPr>
        <w:t xml:space="preserve"> </w:t>
      </w:r>
      <w:r w:rsidRPr="0098344C">
        <w:rPr>
          <w:rFonts w:cs="Arial"/>
        </w:rPr>
        <w:t>through investin</w:t>
      </w:r>
      <w:r w:rsidRPr="0097198F">
        <w:rPr>
          <w:rFonts w:cs="Arial"/>
        </w:rPr>
        <w:t xml:space="preserve">g </w:t>
      </w:r>
      <w:r w:rsidR="002F6BDF">
        <w:rPr>
          <w:rFonts w:cs="Arial"/>
        </w:rPr>
        <w:t xml:space="preserve">primarily </w:t>
      </w:r>
      <w:r w:rsidRPr="0097198F">
        <w:rPr>
          <w:rFonts w:cs="Arial"/>
        </w:rPr>
        <w:t>in equities</w:t>
      </w:r>
      <w:r w:rsidR="006469BB">
        <w:rPr>
          <w:rFonts w:cs="Arial"/>
        </w:rPr>
        <w:t xml:space="preserve"> and equity-related</w:t>
      </w:r>
      <w:r w:rsidR="00E417F7">
        <w:rPr>
          <w:rFonts w:cs="Arial"/>
        </w:rPr>
        <w:t xml:space="preserve"> instruments</w:t>
      </w:r>
      <w:r w:rsidR="006469BB">
        <w:rPr>
          <w:rFonts w:cs="Arial"/>
        </w:rPr>
        <w:t xml:space="preserve"> </w:t>
      </w:r>
      <w:r w:rsidR="00344998">
        <w:rPr>
          <w:rFonts w:cs="Arial"/>
        </w:rPr>
        <w:t>in the developed world.</w:t>
      </w:r>
    </w:p>
    <w:bookmarkEnd w:id="13"/>
    <w:p w14:paraId="6D3B8B8D" w14:textId="6279A98A" w:rsidR="00F04D34" w:rsidRPr="00B459C8" w:rsidRDefault="00870C8E" w:rsidP="0098344C">
      <w:pPr>
        <w:rPr>
          <w:rFonts w:cs="Arial"/>
          <w:highlight w:val="yellow"/>
        </w:rPr>
      </w:pPr>
      <w:r w:rsidRPr="0098344C">
        <w:rPr>
          <w:rFonts w:eastAsia="SimSun" w:cs="Arial"/>
          <w:b/>
        </w:rPr>
        <w:t>Investment Policy</w:t>
      </w:r>
    </w:p>
    <w:p w14:paraId="246B1796" w14:textId="35699C22" w:rsidR="008A4A71" w:rsidRDefault="0097198F" w:rsidP="000C749A">
      <w:pPr>
        <w:spacing w:before="100" w:beforeAutospacing="1" w:after="100" w:afterAutospacing="1"/>
        <w:rPr>
          <w:szCs w:val="24"/>
          <w:lang w:val="en-GB"/>
        </w:rPr>
      </w:pPr>
      <w:r w:rsidRPr="001000BC">
        <w:rPr>
          <w:szCs w:val="24"/>
        </w:rPr>
        <w:t xml:space="preserve">The Fund aims to achieve </w:t>
      </w:r>
      <w:r w:rsidR="00ED43D7">
        <w:rPr>
          <w:szCs w:val="24"/>
        </w:rPr>
        <w:t>its</w:t>
      </w:r>
      <w:r w:rsidR="00ED43D7" w:rsidRPr="001000BC">
        <w:rPr>
          <w:szCs w:val="24"/>
        </w:rPr>
        <w:t xml:space="preserve"> </w:t>
      </w:r>
      <w:r w:rsidRPr="001000BC">
        <w:rPr>
          <w:szCs w:val="24"/>
        </w:rPr>
        <w:t>investment objective</w:t>
      </w:r>
      <w:r w:rsidR="003706B9">
        <w:rPr>
          <w:szCs w:val="24"/>
        </w:rPr>
        <w:t>,</w:t>
      </w:r>
      <w:r w:rsidRPr="001000BC">
        <w:rPr>
          <w:szCs w:val="24"/>
        </w:rPr>
        <w:t xml:space="preserve"> </w:t>
      </w:r>
      <w:r w:rsidR="009B129B" w:rsidRPr="009B129B">
        <w:rPr>
          <w:szCs w:val="24"/>
          <w:lang w:val="en-GB"/>
        </w:rPr>
        <w:t>by investing at least 80%</w:t>
      </w:r>
      <w:r w:rsidR="000C749A">
        <w:rPr>
          <w:szCs w:val="24"/>
          <w:lang w:val="en-GB"/>
        </w:rPr>
        <w:t xml:space="preserve"> of </w:t>
      </w:r>
      <w:r w:rsidR="008A4A71">
        <w:rPr>
          <w:szCs w:val="24"/>
          <w:lang w:val="en-GB"/>
        </w:rPr>
        <w:t xml:space="preserve">its </w:t>
      </w:r>
      <w:r w:rsidR="000C749A">
        <w:rPr>
          <w:szCs w:val="24"/>
          <w:lang w:val="en-GB"/>
        </w:rPr>
        <w:t>net assets</w:t>
      </w:r>
      <w:r w:rsidR="009B129B" w:rsidRPr="009B129B">
        <w:rPr>
          <w:szCs w:val="24"/>
          <w:lang w:val="en-GB"/>
        </w:rPr>
        <w:t xml:space="preserve"> in equi</w:t>
      </w:r>
      <w:r w:rsidR="008A4A71">
        <w:rPr>
          <w:szCs w:val="24"/>
          <w:lang w:val="en-GB"/>
        </w:rPr>
        <w:t>ties</w:t>
      </w:r>
      <w:r w:rsidR="009B129B" w:rsidRPr="009B129B">
        <w:rPr>
          <w:szCs w:val="24"/>
          <w:lang w:val="en-GB"/>
        </w:rPr>
        <w:t xml:space="preserve"> and/or equity-related securities of, or relating to, companies </w:t>
      </w:r>
      <w:r w:rsidR="00533042">
        <w:rPr>
          <w:szCs w:val="24"/>
          <w:lang w:val="en-GB"/>
        </w:rPr>
        <w:t xml:space="preserve">which are </w:t>
      </w:r>
      <w:r w:rsidR="009B129B" w:rsidRPr="009B129B">
        <w:rPr>
          <w:szCs w:val="24"/>
          <w:lang w:val="en-GB"/>
        </w:rPr>
        <w:t>domiciled in, or that derive a large proportion of their income from, developed markets.</w:t>
      </w:r>
    </w:p>
    <w:p w14:paraId="5BEAA3B6" w14:textId="37DD746B" w:rsidR="00F80254" w:rsidRDefault="009B129B" w:rsidP="000C749A">
      <w:pPr>
        <w:spacing w:before="100" w:beforeAutospacing="1" w:after="100" w:afterAutospacing="1"/>
        <w:rPr>
          <w:szCs w:val="24"/>
          <w:lang w:val="en-GB"/>
        </w:rPr>
      </w:pPr>
      <w:r w:rsidRPr="009B129B">
        <w:rPr>
          <w:szCs w:val="24"/>
          <w:lang w:val="en-GB"/>
        </w:rPr>
        <w:t xml:space="preserve">The Fund may (but is under no obligation </w:t>
      </w:r>
      <w:r w:rsidRPr="00D11DFB">
        <w:rPr>
          <w:szCs w:val="24"/>
          <w:lang w:val="en-GB"/>
        </w:rPr>
        <w:t>to) invest in component securities of the MSCI World</w:t>
      </w:r>
      <w:r w:rsidR="00BC1E71">
        <w:rPr>
          <w:szCs w:val="24"/>
          <w:lang w:val="en-GB"/>
        </w:rPr>
        <w:t xml:space="preserve"> All Cap</w:t>
      </w:r>
      <w:r w:rsidRPr="00D11DFB">
        <w:rPr>
          <w:szCs w:val="24"/>
          <w:lang w:val="en-GB"/>
        </w:rPr>
        <w:t xml:space="preserve"> Index or in securities of companies listed in the countries referenced in this index. The MSCI World </w:t>
      </w:r>
      <w:r w:rsidR="00BC1E71">
        <w:rPr>
          <w:szCs w:val="24"/>
          <w:lang w:val="en-GB"/>
        </w:rPr>
        <w:t xml:space="preserve">All Cap </w:t>
      </w:r>
      <w:r w:rsidRPr="00D11DFB">
        <w:rPr>
          <w:szCs w:val="24"/>
          <w:lang w:val="en-GB"/>
        </w:rPr>
        <w:t>Index measures the performance of</w:t>
      </w:r>
      <w:r w:rsidR="00DB1C44">
        <w:rPr>
          <w:szCs w:val="24"/>
          <w:lang w:val="en-GB"/>
        </w:rPr>
        <w:t xml:space="preserve"> listed </w:t>
      </w:r>
      <w:r w:rsidRPr="00D11DFB">
        <w:rPr>
          <w:szCs w:val="24"/>
          <w:lang w:val="en-GB"/>
        </w:rPr>
        <w:t>companies across</w:t>
      </w:r>
      <w:r w:rsidR="007E063C" w:rsidRPr="00D11DFB">
        <w:rPr>
          <w:szCs w:val="24"/>
          <w:lang w:val="en-GB"/>
        </w:rPr>
        <w:t xml:space="preserve"> </w:t>
      </w:r>
      <w:r w:rsidR="000C749A" w:rsidRPr="00D11DFB">
        <w:rPr>
          <w:szCs w:val="24"/>
          <w:lang w:val="en-GB"/>
        </w:rPr>
        <w:t xml:space="preserve">23 </w:t>
      </w:r>
      <w:r w:rsidR="00533042" w:rsidRPr="00D11DFB">
        <w:rPr>
          <w:szCs w:val="24"/>
          <w:lang w:val="en-GB"/>
        </w:rPr>
        <w:t>d</w:t>
      </w:r>
      <w:r w:rsidR="000C749A" w:rsidRPr="00D11DFB">
        <w:rPr>
          <w:szCs w:val="24"/>
          <w:lang w:val="en-GB"/>
        </w:rPr>
        <w:t xml:space="preserve">eveloped </w:t>
      </w:r>
      <w:r w:rsidR="00533042" w:rsidRPr="00D11DFB">
        <w:rPr>
          <w:szCs w:val="24"/>
          <w:lang w:val="en-GB"/>
        </w:rPr>
        <w:t>m</w:t>
      </w:r>
      <w:r w:rsidR="000C749A" w:rsidRPr="00D11DFB">
        <w:rPr>
          <w:szCs w:val="24"/>
          <w:lang w:val="en-GB"/>
        </w:rPr>
        <w:t>arket</w:t>
      </w:r>
      <w:r w:rsidR="00533042" w:rsidRPr="00D11DFB">
        <w:rPr>
          <w:szCs w:val="24"/>
          <w:lang w:val="en-GB"/>
        </w:rPr>
        <w:t xml:space="preserve"> </w:t>
      </w:r>
      <w:r w:rsidR="000C749A" w:rsidRPr="00D11DFB">
        <w:rPr>
          <w:szCs w:val="24"/>
          <w:lang w:val="en-GB"/>
        </w:rPr>
        <w:t xml:space="preserve">countries. </w:t>
      </w:r>
      <w:r w:rsidR="000D78E0" w:rsidRPr="00D11DFB">
        <w:rPr>
          <w:szCs w:val="24"/>
          <w:lang w:val="en-GB"/>
        </w:rPr>
        <w:t xml:space="preserve"> Further detail in relation to the MSCI World </w:t>
      </w:r>
      <w:r w:rsidR="00BC1E71">
        <w:rPr>
          <w:szCs w:val="24"/>
          <w:lang w:val="en-GB"/>
        </w:rPr>
        <w:t xml:space="preserve">All Cap </w:t>
      </w:r>
      <w:r w:rsidR="000D78E0" w:rsidRPr="00D11DFB">
        <w:rPr>
          <w:szCs w:val="24"/>
          <w:lang w:val="en-GB"/>
        </w:rPr>
        <w:t xml:space="preserve">Index is set out below. </w:t>
      </w:r>
    </w:p>
    <w:p w14:paraId="4CEFD3FB" w14:textId="0AFF6823" w:rsidR="000A1B38" w:rsidRPr="00D11DFB" w:rsidRDefault="00F26FDC" w:rsidP="000A1B38">
      <w:pPr>
        <w:spacing w:before="100" w:beforeAutospacing="1" w:after="100" w:afterAutospacing="1"/>
        <w:rPr>
          <w:rFonts w:cs="Arial"/>
        </w:rPr>
      </w:pPr>
      <w:r w:rsidRPr="00D11DFB">
        <w:rPr>
          <w:rFonts w:cs="Arial"/>
        </w:rPr>
        <w:t xml:space="preserve">In implementing its investment policy, the Investment Manager shall have regard to </w:t>
      </w:r>
      <w:r w:rsidR="009C0219" w:rsidRPr="00D11DFB">
        <w:rPr>
          <w:rFonts w:cs="Arial"/>
        </w:rPr>
        <w:t>Environmental, Social and Governance (“</w:t>
      </w:r>
      <w:r w:rsidRPr="00D11DFB">
        <w:rPr>
          <w:rFonts w:cs="Arial"/>
          <w:b/>
          <w:bCs/>
        </w:rPr>
        <w:t>ESG</w:t>
      </w:r>
      <w:r w:rsidR="009C0219" w:rsidRPr="00D11DFB">
        <w:rPr>
          <w:rFonts w:cs="Arial"/>
        </w:rPr>
        <w:t xml:space="preserve">”) </w:t>
      </w:r>
      <w:r w:rsidRPr="00D11DFB">
        <w:rPr>
          <w:rFonts w:cs="Arial"/>
        </w:rPr>
        <w:t>criteria, both in terms of a positive application of ESG criteria in order to identify the most appropriate investment and in terms of the application of certain exclusionary or screening factors</w:t>
      </w:r>
      <w:r w:rsidR="00055453" w:rsidRPr="00D11DFB">
        <w:rPr>
          <w:rFonts w:cs="Arial"/>
        </w:rPr>
        <w:t xml:space="preserve"> to excluded investments which may have a negative impact on environmental or social matters</w:t>
      </w:r>
      <w:r w:rsidRPr="00D11DFB">
        <w:rPr>
          <w:rFonts w:cs="Arial"/>
        </w:rPr>
        <w:t>. Further information in relation to the application of these ESG criteria is set out in the sections below titled “</w:t>
      </w:r>
      <w:r w:rsidRPr="00D11DFB">
        <w:rPr>
          <w:rFonts w:cs="Arial"/>
          <w:i/>
        </w:rPr>
        <w:t>Investment Strategy</w:t>
      </w:r>
      <w:r w:rsidRPr="00D11DFB">
        <w:rPr>
          <w:rFonts w:cs="Arial"/>
          <w:b/>
          <w:i/>
        </w:rPr>
        <w:t xml:space="preserve">” </w:t>
      </w:r>
      <w:r w:rsidRPr="00D11DFB">
        <w:rPr>
          <w:rFonts w:cs="Arial"/>
        </w:rPr>
        <w:t>and “</w:t>
      </w:r>
      <w:r w:rsidRPr="00D11DFB">
        <w:rPr>
          <w:rFonts w:cs="Arial"/>
          <w:i/>
        </w:rPr>
        <w:t>Disclosures under SFDR</w:t>
      </w:r>
      <w:r w:rsidRPr="00D11DFB">
        <w:rPr>
          <w:rFonts w:cs="Arial"/>
        </w:rPr>
        <w:t>”</w:t>
      </w:r>
      <w:r w:rsidR="009F3C89" w:rsidRPr="00D11DFB">
        <w:rPr>
          <w:rFonts w:cs="Arial"/>
        </w:rPr>
        <w:t xml:space="preserve"> and </w:t>
      </w:r>
      <w:r w:rsidR="00E44D2F" w:rsidRPr="00D11DFB">
        <w:rPr>
          <w:rFonts w:cs="Arial"/>
        </w:rPr>
        <w:t>in the Sustainability Annex</w:t>
      </w:r>
      <w:r w:rsidR="00695CFC" w:rsidRPr="00D11DFB">
        <w:rPr>
          <w:rFonts w:cs="Arial"/>
        </w:rPr>
        <w:t>,</w:t>
      </w:r>
      <w:r w:rsidR="00E44D2F" w:rsidRPr="00D11DFB">
        <w:rPr>
          <w:rFonts w:cs="Arial"/>
        </w:rPr>
        <w:t xml:space="preserve"> </w:t>
      </w:r>
      <w:r w:rsidR="00695CFC" w:rsidRPr="00D11DFB">
        <w:rPr>
          <w:rFonts w:cs="Arial"/>
        </w:rPr>
        <w:t xml:space="preserve">which sets out relevant information in the format prescribed under SFDR and is </w:t>
      </w:r>
      <w:r w:rsidR="00E44D2F" w:rsidRPr="00D11DFB">
        <w:rPr>
          <w:rFonts w:cs="Arial"/>
        </w:rPr>
        <w:t>attached</w:t>
      </w:r>
      <w:r w:rsidR="004D0067" w:rsidRPr="00D11DFB">
        <w:rPr>
          <w:rFonts w:cs="Arial"/>
        </w:rPr>
        <w:t xml:space="preserve"> as Appendix 2 hereto</w:t>
      </w:r>
      <w:r w:rsidR="00695CFC" w:rsidRPr="00D11DFB">
        <w:rPr>
          <w:rFonts w:cs="Arial"/>
        </w:rPr>
        <w:t>.</w:t>
      </w:r>
    </w:p>
    <w:p w14:paraId="0396B26A" w14:textId="4D993BD9" w:rsidR="00B62A3B" w:rsidRDefault="00812426" w:rsidP="00870013">
      <w:pPr>
        <w:pStyle w:val="BodyText"/>
        <w:rPr>
          <w:rFonts w:cs="Arial"/>
          <w:szCs w:val="20"/>
        </w:rPr>
      </w:pPr>
      <w:r w:rsidRPr="00D11DFB">
        <w:rPr>
          <w:rFonts w:cs="Arial"/>
          <w:szCs w:val="20"/>
        </w:rPr>
        <w:t xml:space="preserve">The Fund </w:t>
      </w:r>
      <w:r w:rsidR="00D15CE6" w:rsidRPr="00D11DFB">
        <w:rPr>
          <w:rFonts w:cs="Arial"/>
          <w:szCs w:val="20"/>
        </w:rPr>
        <w:t xml:space="preserve">shall </w:t>
      </w:r>
      <w:r w:rsidRPr="00D11DFB">
        <w:rPr>
          <w:rFonts w:cs="Arial"/>
          <w:szCs w:val="20"/>
        </w:rPr>
        <w:t xml:space="preserve">invest </w:t>
      </w:r>
      <w:r w:rsidR="00F6011D" w:rsidRPr="00D11DFB">
        <w:rPr>
          <w:rFonts w:cs="Arial"/>
          <w:szCs w:val="20"/>
        </w:rPr>
        <w:t xml:space="preserve">at least </w:t>
      </w:r>
      <w:r w:rsidR="00BA52D5" w:rsidRPr="00D11DFB">
        <w:rPr>
          <w:rFonts w:cs="Arial"/>
          <w:szCs w:val="20"/>
        </w:rPr>
        <w:t>8</w:t>
      </w:r>
      <w:r w:rsidR="00125C4B" w:rsidRPr="00D11DFB">
        <w:rPr>
          <w:rFonts w:cs="Arial"/>
          <w:szCs w:val="20"/>
        </w:rPr>
        <w:t>0%</w:t>
      </w:r>
      <w:r w:rsidR="003A2517" w:rsidRPr="00D11DFB">
        <w:rPr>
          <w:rFonts w:cs="Arial"/>
          <w:szCs w:val="20"/>
        </w:rPr>
        <w:t xml:space="preserve"> </w:t>
      </w:r>
      <w:r w:rsidR="00F6011D" w:rsidRPr="00D11DFB">
        <w:rPr>
          <w:rFonts w:cs="Arial"/>
          <w:szCs w:val="20"/>
        </w:rPr>
        <w:t xml:space="preserve">of its net assets in equities and equity-related securities of companies </w:t>
      </w:r>
      <w:r w:rsidR="00B62A3B" w:rsidRPr="00D11DFB">
        <w:rPr>
          <w:rFonts w:cs="Arial"/>
          <w:szCs w:val="20"/>
        </w:rPr>
        <w:t xml:space="preserve">whose </w:t>
      </w:r>
      <w:r w:rsidR="00312074" w:rsidRPr="00D11DFB">
        <w:rPr>
          <w:rFonts w:cs="Arial"/>
          <w:szCs w:val="20"/>
        </w:rPr>
        <w:t xml:space="preserve">characteristics and </w:t>
      </w:r>
      <w:r w:rsidR="00B62A3B" w:rsidRPr="00D11DFB">
        <w:rPr>
          <w:rFonts w:cs="Arial"/>
          <w:szCs w:val="20"/>
        </w:rPr>
        <w:t xml:space="preserve">products </w:t>
      </w:r>
      <w:r w:rsidR="006927A9" w:rsidRPr="00D11DFB">
        <w:rPr>
          <w:rFonts w:cs="Arial"/>
          <w:szCs w:val="20"/>
        </w:rPr>
        <w:t>fall</w:t>
      </w:r>
      <w:r w:rsidR="00B62A3B" w:rsidRPr="00D11DFB">
        <w:rPr>
          <w:rFonts w:cs="Arial"/>
          <w:szCs w:val="20"/>
        </w:rPr>
        <w:t xml:space="preserve"> </w:t>
      </w:r>
      <w:r w:rsidR="00B62A3B" w:rsidRPr="00D11DFB">
        <w:rPr>
          <w:rFonts w:cs="Arial"/>
        </w:rPr>
        <w:t xml:space="preserve">within </w:t>
      </w:r>
      <w:r w:rsidR="00323EC3">
        <w:rPr>
          <w:rFonts w:cs="Arial"/>
        </w:rPr>
        <w:t xml:space="preserve">the </w:t>
      </w:r>
      <w:r w:rsidR="00A8185B" w:rsidRPr="00D11DFB">
        <w:rPr>
          <w:rFonts w:cs="Arial"/>
          <w:szCs w:val="20"/>
        </w:rPr>
        <w:t>applicable investment criteria</w:t>
      </w:r>
      <w:r w:rsidR="00B62A3B" w:rsidRPr="00D11DFB">
        <w:rPr>
          <w:rFonts w:cs="Arial"/>
        </w:rPr>
        <w:t>.</w:t>
      </w:r>
    </w:p>
    <w:p w14:paraId="2A0BCB99" w14:textId="02188787" w:rsidR="006F1455" w:rsidRPr="000D78E0" w:rsidRDefault="002F6BDF" w:rsidP="000D78E0">
      <w:pPr>
        <w:rPr>
          <w:szCs w:val="24"/>
        </w:rPr>
      </w:pPr>
      <w:r w:rsidRPr="0078096B">
        <w:rPr>
          <w:szCs w:val="24"/>
        </w:rPr>
        <w:t>The Fund is actively managed</w:t>
      </w:r>
      <w:r>
        <w:rPr>
          <w:szCs w:val="24"/>
        </w:rPr>
        <w:t xml:space="preserve"> and </w:t>
      </w:r>
      <w:r w:rsidRPr="0078096B">
        <w:rPr>
          <w:szCs w:val="24"/>
        </w:rPr>
        <w:t xml:space="preserve">does not intend to track </w:t>
      </w:r>
      <w:r>
        <w:rPr>
          <w:szCs w:val="24"/>
        </w:rPr>
        <w:t>any</w:t>
      </w:r>
      <w:r w:rsidRPr="0078096B">
        <w:rPr>
          <w:szCs w:val="24"/>
        </w:rPr>
        <w:t xml:space="preserve"> </w:t>
      </w:r>
      <w:r>
        <w:rPr>
          <w:szCs w:val="24"/>
        </w:rPr>
        <w:t>b</w:t>
      </w:r>
      <w:r w:rsidRPr="0078096B">
        <w:rPr>
          <w:szCs w:val="24"/>
        </w:rPr>
        <w:t xml:space="preserve">enchmark nor is it constrained by </w:t>
      </w:r>
      <w:r>
        <w:rPr>
          <w:szCs w:val="24"/>
        </w:rPr>
        <w:t>any index</w:t>
      </w:r>
      <w:r w:rsidRPr="0078096B">
        <w:rPr>
          <w:szCs w:val="24"/>
        </w:rPr>
        <w:t>.</w:t>
      </w:r>
      <w:r>
        <w:rPr>
          <w:szCs w:val="24"/>
        </w:rPr>
        <w:t xml:space="preserve"> </w:t>
      </w:r>
      <w:r w:rsidRPr="0098344C">
        <w:rPr>
          <w:rFonts w:cs="Arial"/>
        </w:rPr>
        <w:t>The</w:t>
      </w:r>
      <w:r w:rsidRPr="003334E0">
        <w:rPr>
          <w:rFonts w:cs="Arial"/>
        </w:rPr>
        <w:t xml:space="preserve"> </w:t>
      </w:r>
      <w:r w:rsidRPr="0098344C">
        <w:rPr>
          <w:rFonts w:cs="Arial"/>
        </w:rPr>
        <w:t>Fund</w:t>
      </w:r>
      <w:r>
        <w:rPr>
          <w:rFonts w:cs="Arial"/>
        </w:rPr>
        <w:t xml:space="preserve"> will reference </w:t>
      </w:r>
      <w:r w:rsidRPr="00B867F4">
        <w:rPr>
          <w:szCs w:val="24"/>
        </w:rPr>
        <w:t xml:space="preserve">the </w:t>
      </w:r>
      <w:r w:rsidR="009F3C89">
        <w:rPr>
          <w:szCs w:val="24"/>
        </w:rPr>
        <w:t xml:space="preserve">MSCI World </w:t>
      </w:r>
      <w:r w:rsidR="00BC1E71">
        <w:rPr>
          <w:szCs w:val="24"/>
        </w:rPr>
        <w:t xml:space="preserve">All Cap </w:t>
      </w:r>
      <w:r w:rsidR="009F3C89">
        <w:rPr>
          <w:szCs w:val="24"/>
        </w:rPr>
        <w:t xml:space="preserve">Index </w:t>
      </w:r>
      <w:r w:rsidRPr="00B867F4">
        <w:rPr>
          <w:szCs w:val="24"/>
        </w:rPr>
        <w:t>(the “</w:t>
      </w:r>
      <w:r w:rsidRPr="00EC2858">
        <w:rPr>
          <w:b/>
          <w:bCs/>
          <w:szCs w:val="24"/>
        </w:rPr>
        <w:t>Benchmark</w:t>
      </w:r>
      <w:r w:rsidRPr="00B867F4">
        <w:rPr>
          <w:szCs w:val="24"/>
        </w:rPr>
        <w:t xml:space="preserve">”) for comparison purposes </w:t>
      </w:r>
      <w:r w:rsidR="00054C90">
        <w:rPr>
          <w:szCs w:val="24"/>
        </w:rPr>
        <w:t>and for the purposes of calculating performance fee</w:t>
      </w:r>
      <w:r w:rsidR="00CC7F1D">
        <w:rPr>
          <w:szCs w:val="24"/>
        </w:rPr>
        <w:t>s for certain Share C</w:t>
      </w:r>
      <w:r w:rsidR="00054C90">
        <w:rPr>
          <w:szCs w:val="24"/>
        </w:rPr>
        <w:t>lasses.</w:t>
      </w:r>
      <w:r w:rsidR="006E2F55">
        <w:rPr>
          <w:szCs w:val="24"/>
        </w:rPr>
        <w:t xml:space="preserve"> </w:t>
      </w:r>
      <w:r w:rsidRPr="0078096B">
        <w:rPr>
          <w:szCs w:val="24"/>
        </w:rPr>
        <w:t xml:space="preserve">The Benchmark is not used to define the portfolio composition of the Fund and the </w:t>
      </w:r>
      <w:r>
        <w:rPr>
          <w:szCs w:val="24"/>
        </w:rPr>
        <w:t xml:space="preserve">Investment Manager has full discretion over the composition of the Fund. The </w:t>
      </w:r>
      <w:r w:rsidRPr="0078096B">
        <w:rPr>
          <w:szCs w:val="24"/>
        </w:rPr>
        <w:t xml:space="preserve">Fund may be wholly invested in </w:t>
      </w:r>
      <w:r>
        <w:rPr>
          <w:szCs w:val="24"/>
        </w:rPr>
        <w:t>companies, countries or sectors</w:t>
      </w:r>
      <w:r w:rsidRPr="0078096B">
        <w:rPr>
          <w:szCs w:val="24"/>
        </w:rPr>
        <w:t xml:space="preserve"> which are not constituents of the Benchmark.</w:t>
      </w:r>
    </w:p>
    <w:p w14:paraId="4A7E5480" w14:textId="77777777" w:rsidR="00B867F4" w:rsidRDefault="00B867F4" w:rsidP="002F6BDF"/>
    <w:p w14:paraId="431EA01D" w14:textId="0213EDFC" w:rsidR="001120DC" w:rsidRPr="00D11DFB" w:rsidRDefault="001120DC" w:rsidP="001120DC">
      <w:pPr>
        <w:pStyle w:val="BodyText"/>
        <w:rPr>
          <w:rFonts w:cs="Arial"/>
        </w:rPr>
      </w:pPr>
      <w:r w:rsidRPr="00D11DFB">
        <w:rPr>
          <w:rFonts w:cs="Arial"/>
          <w:szCs w:val="20"/>
        </w:rPr>
        <w:t>The Fund may invest in equity securities of any market capitalisation</w:t>
      </w:r>
      <w:r w:rsidRPr="00D11DFB">
        <w:rPr>
          <w:rFonts w:cs="Arial"/>
        </w:rPr>
        <w:t>. A developed market is a country that exhibits a more advanced economy a</w:t>
      </w:r>
      <w:r w:rsidR="00A51387">
        <w:rPr>
          <w:rFonts w:cs="Arial"/>
        </w:rPr>
        <w:t>n</w:t>
      </w:r>
      <w:r w:rsidRPr="00D11DFB">
        <w:rPr>
          <w:rFonts w:cs="Arial"/>
        </w:rPr>
        <w:t xml:space="preserve">d mature capital markets.  These markets are characterised by higher GDP per capita than emerging markets, stable political environments, advanced infrastructure, liquidity and transparency. The Fund will not invest more than 20% of its </w:t>
      </w:r>
      <w:r w:rsidRPr="00D11DFB">
        <w:t xml:space="preserve">net asset value in </w:t>
      </w:r>
      <w:r w:rsidRPr="00D11DFB">
        <w:rPr>
          <w:rFonts w:cs="Arial"/>
        </w:rPr>
        <w:t>emerging markets. The Fund typically invests in between 30 and 50 holdings but may hold outside those parameters from time to time</w:t>
      </w:r>
      <w:r w:rsidR="002A2440">
        <w:rPr>
          <w:rFonts w:cs="Arial"/>
        </w:rPr>
        <w:t>.</w:t>
      </w:r>
    </w:p>
    <w:p w14:paraId="3F2E9F3F" w14:textId="220D2FF4" w:rsidR="00F6011D" w:rsidRPr="00D11DFB" w:rsidRDefault="00F6011D" w:rsidP="00F16B51">
      <w:pPr>
        <w:spacing w:after="240"/>
        <w:rPr>
          <w:rFonts w:cs="Arial"/>
        </w:rPr>
      </w:pPr>
      <w:r w:rsidRPr="00D11DFB">
        <w:rPr>
          <w:rFonts w:cs="Arial"/>
        </w:rPr>
        <w:t xml:space="preserve">The Fund is not subject to any limitation on the portion of its net assets that may be invested in any one country or region. </w:t>
      </w:r>
      <w:r w:rsidR="00F16B51" w:rsidRPr="00D11DFB">
        <w:rPr>
          <w:rFonts w:cs="Arial"/>
        </w:rPr>
        <w:t xml:space="preserve">In certain circumstances, the Fund may obtain exposure to a country or region through </w:t>
      </w:r>
      <w:r w:rsidR="002D79E0" w:rsidRPr="00D11DFB">
        <w:rPr>
          <w:rFonts w:cs="Arial"/>
        </w:rPr>
        <w:t>investment in</w:t>
      </w:r>
      <w:r w:rsidR="00F16B51" w:rsidRPr="00D11DFB">
        <w:rPr>
          <w:rFonts w:cs="Arial"/>
        </w:rPr>
        <w:t xml:space="preserve"> companies or instruments that are listed or traded on a stock exchange or market that is located in another jurisdiction</w:t>
      </w:r>
      <w:r w:rsidR="002A2440">
        <w:rPr>
          <w:rFonts w:cs="Arial"/>
        </w:rPr>
        <w:t>.</w:t>
      </w:r>
      <w:r w:rsidRPr="00D11DFB">
        <w:rPr>
          <w:rFonts w:cs="Arial"/>
        </w:rPr>
        <w:t xml:space="preserve">  </w:t>
      </w:r>
    </w:p>
    <w:p w14:paraId="12CE94CB" w14:textId="4242CE60" w:rsidR="00EE7A97" w:rsidRPr="00D11DFB" w:rsidRDefault="00921555" w:rsidP="004D4CB6">
      <w:pPr>
        <w:spacing w:after="240"/>
        <w:rPr>
          <w:rFonts w:cs="Arial"/>
          <w:color w:val="000000"/>
        </w:rPr>
      </w:pPr>
      <w:r w:rsidRPr="00D11DFB">
        <w:rPr>
          <w:rFonts w:cs="Arial"/>
          <w:color w:val="000000"/>
        </w:rPr>
        <w:t>T</w:t>
      </w:r>
      <w:r w:rsidR="00EE7A97" w:rsidRPr="00D11DFB">
        <w:rPr>
          <w:rFonts w:cs="Arial"/>
          <w:color w:val="000000"/>
        </w:rPr>
        <w:t>he Fund may invest up to 10% of its net assets in unlisted transferable securities including</w:t>
      </w:r>
      <w:r w:rsidR="003E63C8" w:rsidRPr="00D11DFB">
        <w:rPr>
          <w:rFonts w:cs="Arial"/>
          <w:color w:val="000000"/>
        </w:rPr>
        <w:t xml:space="preserve"> unlisted</w:t>
      </w:r>
      <w:r w:rsidR="00EE7A97" w:rsidRPr="00D11DFB">
        <w:rPr>
          <w:rFonts w:cs="Arial"/>
          <w:color w:val="000000"/>
        </w:rPr>
        <w:t xml:space="preserve"> closed-ended investment funds which comply with the eligibility criteria for UCITS</w:t>
      </w:r>
      <w:r w:rsidR="00990536" w:rsidRPr="00D11DFB">
        <w:rPr>
          <w:rFonts w:cs="Arial"/>
          <w:color w:val="000000"/>
        </w:rPr>
        <w:t xml:space="preserve"> and which are consistent with the investment objective of the Fund</w:t>
      </w:r>
      <w:r w:rsidR="00EE7A97" w:rsidRPr="00D11DFB">
        <w:rPr>
          <w:rFonts w:cs="Arial"/>
          <w:color w:val="000000"/>
        </w:rPr>
        <w:t>.</w:t>
      </w:r>
    </w:p>
    <w:p w14:paraId="68DF1276" w14:textId="0DA34BD4" w:rsidR="00EE7A97" w:rsidRPr="00D11DFB" w:rsidRDefault="00EE7A97" w:rsidP="004D4CB6">
      <w:pPr>
        <w:spacing w:after="240"/>
        <w:rPr>
          <w:szCs w:val="24"/>
        </w:rPr>
      </w:pPr>
      <w:r w:rsidRPr="00D11DFB">
        <w:rPr>
          <w:szCs w:val="24"/>
        </w:rPr>
        <w:t xml:space="preserve">In addition, the Fund may invest up </w:t>
      </w:r>
      <w:r w:rsidRPr="00D11DFB">
        <w:rPr>
          <w:rFonts w:cs="Arial"/>
        </w:rPr>
        <w:t>to 10% of its</w:t>
      </w:r>
      <w:r w:rsidRPr="00D11DFB">
        <w:rPr>
          <w:szCs w:val="24"/>
        </w:rPr>
        <w:t xml:space="preserve"> net assets in warrants and rights i</w:t>
      </w:r>
      <w:r w:rsidR="00B543EF" w:rsidRPr="00D11DFB">
        <w:rPr>
          <w:szCs w:val="24"/>
        </w:rPr>
        <w:t>ssued by companies</w:t>
      </w:r>
      <w:r w:rsidRPr="00D11DFB">
        <w:rPr>
          <w:szCs w:val="24"/>
        </w:rPr>
        <w:t xml:space="preserve"> listed on or dealt in Recognised Markets and exchanges set out in “Appendix B – Recognised Markets</w:t>
      </w:r>
      <w:r w:rsidR="00AF37B9" w:rsidRPr="00D11DFB">
        <w:rPr>
          <w:szCs w:val="24"/>
        </w:rPr>
        <w:t>” of the Prospectus</w:t>
      </w:r>
      <w:r w:rsidRPr="00D11DFB">
        <w:rPr>
          <w:szCs w:val="24"/>
        </w:rPr>
        <w:t xml:space="preserve">. </w:t>
      </w:r>
    </w:p>
    <w:p w14:paraId="50D41D45" w14:textId="201C9636" w:rsidR="00EE7A97" w:rsidRPr="00D11DFB" w:rsidRDefault="00A8506A" w:rsidP="004D4CB6">
      <w:pPr>
        <w:spacing w:after="240"/>
        <w:rPr>
          <w:szCs w:val="24"/>
        </w:rPr>
      </w:pPr>
      <w:r w:rsidRPr="00D11DFB">
        <w:rPr>
          <w:szCs w:val="24"/>
        </w:rPr>
        <w:lastRenderedPageBreak/>
        <w:t>The Fund may invest in depositary receipts and / or</w:t>
      </w:r>
      <w:r w:rsidR="00EE7A97" w:rsidRPr="00D11DFB">
        <w:rPr>
          <w:szCs w:val="24"/>
        </w:rPr>
        <w:t xml:space="preserve"> participatory notes where the Fund cannot gain direct market access. The </w:t>
      </w:r>
      <w:r w:rsidRPr="00D11DFB">
        <w:rPr>
          <w:szCs w:val="24"/>
        </w:rPr>
        <w:t xml:space="preserve">depositary receipts (which may include American Depositary Receipts and or Global Depositary Receipts) and </w:t>
      </w:r>
      <w:r w:rsidR="00EE7A97" w:rsidRPr="00D11DFB">
        <w:rPr>
          <w:szCs w:val="24"/>
        </w:rPr>
        <w:t xml:space="preserve">participatory notes in which the Fund may invest </w:t>
      </w:r>
      <w:r w:rsidR="003561EB" w:rsidRPr="00D11DFB">
        <w:rPr>
          <w:szCs w:val="24"/>
        </w:rPr>
        <w:t xml:space="preserve">are typically issued by </w:t>
      </w:r>
      <w:r w:rsidR="003561EB" w:rsidRPr="00D11DFB">
        <w:t>counterparty banks and are designed to offer the holder a return linked to the performance of a particular underlying equity security or market, and used where direct investment in the relevant underlying equity security or market is not possible for regulatory or other reasons. The depositary receipts and / or participatory notes will</w:t>
      </w:r>
      <w:r w:rsidR="00EE7A97" w:rsidRPr="00D11DFB">
        <w:rPr>
          <w:szCs w:val="24"/>
        </w:rPr>
        <w:t xml:space="preserve"> have the equities</w:t>
      </w:r>
      <w:r w:rsidR="003561EB" w:rsidRPr="00D11DFB">
        <w:rPr>
          <w:szCs w:val="24"/>
        </w:rPr>
        <w:t xml:space="preserve"> in which the Fund may directly invest</w:t>
      </w:r>
      <w:r w:rsidR="00EE7A97" w:rsidRPr="00D11DFB">
        <w:rPr>
          <w:szCs w:val="24"/>
        </w:rPr>
        <w:t xml:space="preserve"> (as described above) as their underlyings</w:t>
      </w:r>
      <w:r w:rsidR="00623757" w:rsidRPr="00D11DFB">
        <w:rPr>
          <w:szCs w:val="24"/>
        </w:rPr>
        <w:t xml:space="preserve"> and will </w:t>
      </w:r>
      <w:r w:rsidR="00EE7A97" w:rsidRPr="00D11DFB">
        <w:rPr>
          <w:szCs w:val="24"/>
        </w:rPr>
        <w:t>not embed derivatives or leverage.</w:t>
      </w:r>
      <w:r w:rsidR="003561EB" w:rsidRPr="00D11DFB">
        <w:t xml:space="preserve"> </w:t>
      </w:r>
    </w:p>
    <w:p w14:paraId="28502E6C" w14:textId="3F9795DB" w:rsidR="00EE7A97" w:rsidRPr="00D11DFB" w:rsidRDefault="00C531BE" w:rsidP="0098344C">
      <w:pPr>
        <w:spacing w:after="240"/>
        <w:rPr>
          <w:szCs w:val="24"/>
        </w:rPr>
      </w:pPr>
      <w:r w:rsidRPr="00D11DFB">
        <w:rPr>
          <w:szCs w:val="24"/>
        </w:rPr>
        <w:t>Save for investment in treasury bills as described below, t</w:t>
      </w:r>
      <w:r w:rsidR="00EE7A97" w:rsidRPr="00D11DFB">
        <w:rPr>
          <w:szCs w:val="24"/>
        </w:rPr>
        <w:t xml:space="preserve">he Fund </w:t>
      </w:r>
      <w:r w:rsidR="00B448E3" w:rsidRPr="00D11DFB">
        <w:rPr>
          <w:szCs w:val="24"/>
        </w:rPr>
        <w:t xml:space="preserve">shall not invest in fixed income </w:t>
      </w:r>
      <w:r w:rsidR="00B448E3" w:rsidRPr="00D11DFB">
        <w:t xml:space="preserve">securities but may invest up to </w:t>
      </w:r>
      <w:r w:rsidR="00EE7A97" w:rsidRPr="00D11DFB">
        <w:t xml:space="preserve">may invest up to </w:t>
      </w:r>
      <w:r w:rsidR="00BB3D31" w:rsidRPr="00D11DFB">
        <w:t>15</w:t>
      </w:r>
      <w:r w:rsidR="00BC7F0C" w:rsidRPr="00D11DFB">
        <w:t>%</w:t>
      </w:r>
      <w:r w:rsidR="00EE7A97" w:rsidRPr="00D11DFB">
        <w:t xml:space="preserve"> </w:t>
      </w:r>
      <w:r w:rsidR="00B448E3" w:rsidRPr="00D11DFB">
        <w:t xml:space="preserve">of its net assets in </w:t>
      </w:r>
      <w:r w:rsidR="00EE7A97" w:rsidRPr="00D11DFB">
        <w:t xml:space="preserve">preferred stock, where it is considered appropriate to achieve the investment objective of the Fund. Such </w:t>
      </w:r>
      <w:r w:rsidR="002A2F9B" w:rsidRPr="00D11DFB">
        <w:t xml:space="preserve">preferred stock </w:t>
      </w:r>
      <w:r w:rsidR="00EE7A97" w:rsidRPr="00D11DFB">
        <w:t>may have fixed or floating rates of interest and need not be of investment grade, as defined by S</w:t>
      </w:r>
      <w:r w:rsidR="005B05C0" w:rsidRPr="00D11DFB">
        <w:t>t</w:t>
      </w:r>
      <w:r w:rsidR="00EE7A97" w:rsidRPr="00D11DFB">
        <w:t>andard and Poor’s. Not more than 10% in aggregate</w:t>
      </w:r>
      <w:r w:rsidR="00EE7A97" w:rsidRPr="00D11DFB">
        <w:rPr>
          <w:szCs w:val="24"/>
        </w:rPr>
        <w:t xml:space="preserve"> of the Net Asset Value of the Fund may be invested in below-investment grade securities.</w:t>
      </w:r>
    </w:p>
    <w:p w14:paraId="10356EEB" w14:textId="5BE5106D" w:rsidR="00587B73" w:rsidRPr="00D11DFB" w:rsidRDefault="00587B73" w:rsidP="0098344C">
      <w:pPr>
        <w:spacing w:after="240"/>
        <w:rPr>
          <w:szCs w:val="24"/>
        </w:rPr>
      </w:pPr>
      <w:r w:rsidRPr="00D11DFB">
        <w:rPr>
          <w:szCs w:val="24"/>
        </w:rPr>
        <w:t>The Fund</w:t>
      </w:r>
      <w:r w:rsidR="008229D7" w:rsidRPr="00D11DFB">
        <w:rPr>
          <w:szCs w:val="24"/>
        </w:rPr>
        <w:t xml:space="preserve"> may also invest in closed-ended investment funds provided that they </w:t>
      </w:r>
      <w:r w:rsidR="005B05C0" w:rsidRPr="00D11DFB">
        <w:rPr>
          <w:szCs w:val="24"/>
        </w:rPr>
        <w:t xml:space="preserve">fall within the </w:t>
      </w:r>
      <w:r w:rsidR="00B77BA0" w:rsidRPr="00D11DFB">
        <w:rPr>
          <w:szCs w:val="24"/>
        </w:rPr>
        <w:t xml:space="preserve">eligibility </w:t>
      </w:r>
      <w:r w:rsidR="000F7A7E" w:rsidRPr="00D11DFB">
        <w:rPr>
          <w:szCs w:val="24"/>
        </w:rPr>
        <w:t xml:space="preserve">criteria </w:t>
      </w:r>
      <w:r w:rsidR="005B05C0" w:rsidRPr="00D11DFB">
        <w:rPr>
          <w:szCs w:val="24"/>
        </w:rPr>
        <w:t xml:space="preserve">for </w:t>
      </w:r>
      <w:r w:rsidR="008229D7" w:rsidRPr="00D11DFB">
        <w:rPr>
          <w:szCs w:val="24"/>
        </w:rPr>
        <w:t>transferable securities</w:t>
      </w:r>
      <w:r w:rsidR="005B05C0" w:rsidRPr="00D11DFB">
        <w:rPr>
          <w:szCs w:val="24"/>
        </w:rPr>
        <w:t xml:space="preserve"> under the UCITS Regulations</w:t>
      </w:r>
      <w:r w:rsidR="008229D7" w:rsidRPr="00D11DFB">
        <w:rPr>
          <w:szCs w:val="24"/>
        </w:rPr>
        <w:t>.</w:t>
      </w:r>
    </w:p>
    <w:p w14:paraId="4D4C92F9" w14:textId="793E2AF4" w:rsidR="00EE7A97" w:rsidRPr="00D11DFB" w:rsidRDefault="00EE7A97" w:rsidP="0098344C">
      <w:pPr>
        <w:pStyle w:val="BodyText"/>
      </w:pPr>
      <w:r w:rsidRPr="00D11DFB">
        <w:t>The Fund may also invest in exchange traded funds (“</w:t>
      </w:r>
      <w:r w:rsidRPr="00D11DFB">
        <w:rPr>
          <w:b/>
        </w:rPr>
        <w:t>ETFs</w:t>
      </w:r>
      <w:r w:rsidRPr="00D11DFB">
        <w:t>”)</w:t>
      </w:r>
      <w:r w:rsidRPr="00D11DFB">
        <w:rPr>
          <w:b/>
        </w:rPr>
        <w:t xml:space="preserve"> </w:t>
      </w:r>
      <w:r w:rsidRPr="00D11DFB">
        <w:t xml:space="preserve">and </w:t>
      </w:r>
      <w:r w:rsidR="0097305C" w:rsidRPr="00D11DFB">
        <w:t xml:space="preserve">open-ended </w:t>
      </w:r>
      <w:r w:rsidRPr="00D11DFB">
        <w:t>collective investment schemes</w:t>
      </w:r>
      <w:r w:rsidR="00A843BE" w:rsidRPr="00D11DFB">
        <w:t xml:space="preserve"> </w:t>
      </w:r>
      <w:r w:rsidRPr="00D11DFB">
        <w:rPr>
          <w:rFonts w:cs="Arial"/>
          <w:szCs w:val="20"/>
        </w:rPr>
        <w:t xml:space="preserve">(including funds managed by </w:t>
      </w:r>
      <w:r w:rsidR="00214959" w:rsidRPr="00D11DFB">
        <w:rPr>
          <w:rFonts w:cs="Arial"/>
          <w:szCs w:val="20"/>
        </w:rPr>
        <w:t xml:space="preserve">Pacific </w:t>
      </w:r>
      <w:r w:rsidRPr="00D11DFB">
        <w:rPr>
          <w:rFonts w:cs="Arial"/>
          <w:szCs w:val="20"/>
        </w:rPr>
        <w:t xml:space="preserve">companies), when deemed appropriate.  </w:t>
      </w:r>
      <w:r w:rsidRPr="00D11DFB">
        <w:t xml:space="preserve">Any investment in </w:t>
      </w:r>
      <w:r w:rsidR="00363763" w:rsidRPr="00D11DFB">
        <w:t xml:space="preserve">open-ended </w:t>
      </w:r>
      <w:r w:rsidRPr="00D11DFB">
        <w:t>collective investment schemes, including ETFs, shall not exceed in aggregate 10% of the Net Asset Value of the Fund and</w:t>
      </w:r>
      <w:r w:rsidR="0097305C" w:rsidRPr="00D11DFB">
        <w:t>, save for investment in money market funds for cash management purposes as outlined below,</w:t>
      </w:r>
      <w:r w:rsidRPr="00D11DFB">
        <w:t xml:space="preserve"> investment shall only be made in collective investment schemes which </w:t>
      </w:r>
      <w:r w:rsidR="002964B8" w:rsidRPr="00D11DFB">
        <w:t xml:space="preserve">have </w:t>
      </w:r>
      <w:r w:rsidRPr="00D11DFB">
        <w:t>investment polic</w:t>
      </w:r>
      <w:r w:rsidR="002964B8" w:rsidRPr="00D11DFB">
        <w:t>ies</w:t>
      </w:r>
      <w:r w:rsidR="00772868" w:rsidRPr="00D11DFB">
        <w:t xml:space="preserve"> </w:t>
      </w:r>
      <w:r w:rsidR="002964B8" w:rsidRPr="00D11DFB">
        <w:t xml:space="preserve">similar to those of the </w:t>
      </w:r>
      <w:r w:rsidRPr="00D11DFB">
        <w:t>Fund.</w:t>
      </w:r>
    </w:p>
    <w:p w14:paraId="2C907B7A" w14:textId="108F3331" w:rsidR="00A34C7C" w:rsidRPr="00D11DFB" w:rsidRDefault="007F7C8C" w:rsidP="0098344C">
      <w:pPr>
        <w:spacing w:after="240"/>
      </w:pPr>
      <w:r w:rsidRPr="00D11DFB">
        <w:t xml:space="preserve">The Fund may use </w:t>
      </w:r>
      <w:r w:rsidR="000E77B7" w:rsidRPr="00D11DFB">
        <w:t xml:space="preserve">financial derivative </w:t>
      </w:r>
      <w:r w:rsidR="00694053" w:rsidRPr="00D11DFB">
        <w:t>instruments</w:t>
      </w:r>
      <w:r w:rsidR="000E77B7" w:rsidRPr="00D11DFB">
        <w:t xml:space="preserve"> (“</w:t>
      </w:r>
      <w:r w:rsidRPr="00D11DFB">
        <w:rPr>
          <w:b/>
        </w:rPr>
        <w:t>FDI</w:t>
      </w:r>
      <w:r w:rsidR="000E77B7" w:rsidRPr="00D11DFB">
        <w:t>”)</w:t>
      </w:r>
      <w:r w:rsidRPr="00D11DFB">
        <w:t xml:space="preserve"> (as further described below) </w:t>
      </w:r>
      <w:r w:rsidRPr="00D11DFB">
        <w:rPr>
          <w:szCs w:val="24"/>
        </w:rPr>
        <w:t>for efficient portfolio management purposes</w:t>
      </w:r>
      <w:r w:rsidR="002964B8" w:rsidRPr="00D11DFB">
        <w:t>;</w:t>
      </w:r>
      <w:r w:rsidRPr="00D11DFB">
        <w:t xml:space="preserve"> futures and options to hedge against downward movements in the value of the Fund’s portfolio, either by reference to specific securities (i.e. equity or equity related securities) or markets to which the Fund may be exposed or to obtain long exposure to the equities and equity-related securities outlined above where the Investment Manager determines that the use of FDI is more efficient or cost effective than direct investment</w:t>
      </w:r>
      <w:r w:rsidR="00121DB1" w:rsidRPr="00D11DFB">
        <w:t xml:space="preserve">. </w:t>
      </w:r>
    </w:p>
    <w:p w14:paraId="49140796" w14:textId="637212C8" w:rsidR="00625FCC" w:rsidRPr="00D11DFB" w:rsidRDefault="00625FCC" w:rsidP="00625FCC">
      <w:pPr>
        <w:spacing w:after="240"/>
      </w:pPr>
      <w:r w:rsidRPr="00D11DFB">
        <w:t>The Fund may also, in the appropriate circumstances, retain or move to up to 100% of its net assets in cash or cash equivalents (including but not limited to deposits, money market instruments, short-term debt obligations and treasury bills listed or traded on Recognised Markets). Such circumstances include where market conditions may require a defensive investment strategy, the holding of cash on deposit pending reinvestment, the holding of cash in order to meet redemptions and payment of expenses or in order to support derivative exposure or in any other extraordinary market circumstances such as a market crash or major crises which in the reasonable opinion of the Investment Manager would be likely to have a significant detrimental effect on the performance of the Fund.</w:t>
      </w:r>
    </w:p>
    <w:p w14:paraId="3BBBA1E2" w14:textId="077CD41C" w:rsidR="00625FCC" w:rsidRPr="00D11DFB" w:rsidRDefault="00625FCC" w:rsidP="00625FCC">
      <w:pPr>
        <w:spacing w:after="240"/>
      </w:pPr>
      <w:r w:rsidRPr="00D11DFB">
        <w:t>The money market instruments and other short term debt obligations the Fund may utilise for investment or efficient portfolio management purposes may include, without limitation, short term commercial paper, bankers’ acceptances, government securities and certificates of deposit, securities issued by or on behalf of or guaranteed by the government of the United States or by other OECD sovereign governments or by their sub-divisions or agencies and securities issued by public corporations, local authorities, banks or other financial institutions or corporate issuers. They may also include shares in money market funds subject to the conditions and limits set out in the Central Bank UCITS Regulations.</w:t>
      </w:r>
    </w:p>
    <w:p w14:paraId="3DDDBAFB" w14:textId="0DF31A09" w:rsidR="00BD0016" w:rsidRPr="00D11DFB" w:rsidRDefault="00F0785F" w:rsidP="0098344C">
      <w:pPr>
        <w:rPr>
          <w:b/>
          <w:szCs w:val="24"/>
        </w:rPr>
      </w:pPr>
      <w:r w:rsidRPr="00D11DFB">
        <w:t xml:space="preserve">When selecting a given asset for </w:t>
      </w:r>
      <w:r w:rsidR="00866F5D" w:rsidRPr="00D11DFB">
        <w:t>investment, the</w:t>
      </w:r>
      <w:r w:rsidR="001F007B" w:rsidRPr="00D11DFB">
        <w:t xml:space="preserve"> Investment Manager shall have regard to all applicable criteria set out in the </w:t>
      </w:r>
      <w:r w:rsidR="00431CBA" w:rsidRPr="00D11DFB">
        <w:t>“</w:t>
      </w:r>
      <w:r w:rsidR="001F007B" w:rsidRPr="00D11DFB">
        <w:rPr>
          <w:i/>
        </w:rPr>
        <w:t>Investment Strategy</w:t>
      </w:r>
      <w:r w:rsidR="00431CBA" w:rsidRPr="00D11DFB">
        <w:t>”</w:t>
      </w:r>
      <w:r w:rsidR="001F007B" w:rsidRPr="00D11DFB">
        <w:t xml:space="preserve"> section below, including in particular the overall liquidity, qual</w:t>
      </w:r>
      <w:r w:rsidR="00431CBA" w:rsidRPr="00D11DFB">
        <w:t xml:space="preserve">itative or accounting metrics and ESG Criteria as described in further detail </w:t>
      </w:r>
      <w:r w:rsidR="00866F5D" w:rsidRPr="00D11DFB">
        <w:t>below</w:t>
      </w:r>
      <w:r w:rsidR="00866F5D" w:rsidRPr="00D11DFB">
        <w:rPr>
          <w:szCs w:val="24"/>
        </w:rPr>
        <w:t>.</w:t>
      </w:r>
      <w:r w:rsidR="00866F5D" w:rsidRPr="00D11DFB">
        <w:rPr>
          <w:b/>
          <w:szCs w:val="24"/>
        </w:rPr>
        <w:t xml:space="preserve"> There</w:t>
      </w:r>
      <w:r w:rsidR="00BD0016" w:rsidRPr="00D11DFB">
        <w:rPr>
          <w:b/>
          <w:szCs w:val="24"/>
        </w:rPr>
        <w:t xml:space="preserve"> can be no assurance that the Fund’s investments will be successful or that the investment objectives of the Fund will be achieved.  Investors should carefully assess the risks associated with an investment in the Fund.  See “Risks Considerations” in the Prospectus and below.</w:t>
      </w:r>
    </w:p>
    <w:p w14:paraId="7E5B09D8" w14:textId="48A39DFF" w:rsidR="00662044" w:rsidRPr="00D11DFB" w:rsidRDefault="00662044" w:rsidP="0098344C">
      <w:pPr>
        <w:rPr>
          <w:szCs w:val="24"/>
        </w:rPr>
      </w:pPr>
    </w:p>
    <w:p w14:paraId="6CD79AA7" w14:textId="0B15E14C" w:rsidR="002C634D" w:rsidRPr="00D11DFB" w:rsidRDefault="00B63C16" w:rsidP="0098344C">
      <w:pPr>
        <w:rPr>
          <w:rFonts w:eastAsia="SimSun"/>
          <w:b/>
          <w:sz w:val="22"/>
          <w:szCs w:val="22"/>
        </w:rPr>
      </w:pPr>
      <w:r w:rsidRPr="00D11DFB">
        <w:rPr>
          <w:rFonts w:eastAsia="SimSun"/>
          <w:b/>
          <w:sz w:val="22"/>
          <w:szCs w:val="22"/>
        </w:rPr>
        <w:t>Investment Strategy</w:t>
      </w:r>
    </w:p>
    <w:p w14:paraId="12D3DC3E" w14:textId="77777777" w:rsidR="002C634D" w:rsidRPr="00D11DFB" w:rsidRDefault="002C634D" w:rsidP="002C634D">
      <w:pPr>
        <w:rPr>
          <w:szCs w:val="24"/>
        </w:rPr>
      </w:pPr>
    </w:p>
    <w:p w14:paraId="0EAFEACD" w14:textId="267DB173" w:rsidR="00A27F38" w:rsidRPr="00D11DFB" w:rsidRDefault="002C634D" w:rsidP="002C634D">
      <w:pPr>
        <w:rPr>
          <w:szCs w:val="24"/>
        </w:rPr>
      </w:pPr>
      <w:r w:rsidRPr="00D11DFB">
        <w:rPr>
          <w:szCs w:val="24"/>
        </w:rPr>
        <w:lastRenderedPageBreak/>
        <w:t xml:space="preserve">The </w:t>
      </w:r>
      <w:r w:rsidR="00A27F38" w:rsidRPr="00D11DFB">
        <w:rPr>
          <w:szCs w:val="24"/>
        </w:rPr>
        <w:t xml:space="preserve">Investment Manager shall </w:t>
      </w:r>
      <w:r w:rsidRPr="00D11DFB">
        <w:rPr>
          <w:szCs w:val="24"/>
        </w:rPr>
        <w:t xml:space="preserve">distil an initial </w:t>
      </w:r>
      <w:r w:rsidR="00076075" w:rsidRPr="00D11DFB">
        <w:rPr>
          <w:szCs w:val="24"/>
        </w:rPr>
        <w:t xml:space="preserve">investment universe of </w:t>
      </w:r>
      <w:r w:rsidR="002D79E0" w:rsidRPr="00D11DFB">
        <w:rPr>
          <w:szCs w:val="24"/>
        </w:rPr>
        <w:t>around 40,000</w:t>
      </w:r>
      <w:r w:rsidR="009B3B26">
        <w:rPr>
          <w:szCs w:val="24"/>
        </w:rPr>
        <w:t xml:space="preserve"> </w:t>
      </w:r>
      <w:r w:rsidRPr="00D11DFB">
        <w:rPr>
          <w:szCs w:val="24"/>
        </w:rPr>
        <w:t xml:space="preserve">companies globally </w:t>
      </w:r>
      <w:r w:rsidR="00A27F38" w:rsidRPr="00D11DFB">
        <w:rPr>
          <w:szCs w:val="24"/>
        </w:rPr>
        <w:t xml:space="preserve">down to an anticipated </w:t>
      </w:r>
      <w:r w:rsidRPr="00D11DFB">
        <w:rPr>
          <w:szCs w:val="24"/>
        </w:rPr>
        <w:t xml:space="preserve">equity investment portfolio of </w:t>
      </w:r>
      <w:r w:rsidR="00591041" w:rsidRPr="00D11DFB">
        <w:rPr>
          <w:szCs w:val="24"/>
        </w:rPr>
        <w:t>30-</w:t>
      </w:r>
      <w:r w:rsidR="00312074" w:rsidRPr="00D11DFB">
        <w:rPr>
          <w:szCs w:val="24"/>
        </w:rPr>
        <w:t>5</w:t>
      </w:r>
      <w:r w:rsidR="00591041" w:rsidRPr="00D11DFB">
        <w:rPr>
          <w:szCs w:val="24"/>
        </w:rPr>
        <w:t>0 stocks</w:t>
      </w:r>
      <w:r w:rsidRPr="00D11DFB">
        <w:rPr>
          <w:szCs w:val="24"/>
        </w:rPr>
        <w:t xml:space="preserve">. </w:t>
      </w:r>
    </w:p>
    <w:p w14:paraId="05B212F2" w14:textId="77777777" w:rsidR="00A27F38" w:rsidRPr="00D11DFB" w:rsidRDefault="00A27F38" w:rsidP="002C634D">
      <w:pPr>
        <w:rPr>
          <w:szCs w:val="24"/>
        </w:rPr>
      </w:pPr>
    </w:p>
    <w:p w14:paraId="79E1654C" w14:textId="7CBE7966" w:rsidR="008574FE" w:rsidRPr="00D11DFB" w:rsidRDefault="002C634D" w:rsidP="002C634D">
      <w:pPr>
        <w:rPr>
          <w:szCs w:val="24"/>
        </w:rPr>
      </w:pPr>
      <w:r w:rsidRPr="00D11DFB">
        <w:rPr>
          <w:szCs w:val="24"/>
        </w:rPr>
        <w:t xml:space="preserve">This is achieved by focusing on </w:t>
      </w:r>
      <w:r w:rsidR="00C55E06">
        <w:rPr>
          <w:szCs w:val="24"/>
        </w:rPr>
        <w:t xml:space="preserve">a starting universe of all listed </w:t>
      </w:r>
      <w:r w:rsidRPr="00D11DFB">
        <w:rPr>
          <w:szCs w:val="24"/>
        </w:rPr>
        <w:t>companies</w:t>
      </w:r>
      <w:r w:rsidR="00C20B32">
        <w:rPr>
          <w:szCs w:val="24"/>
        </w:rPr>
        <w:t xml:space="preserve">, </w:t>
      </w:r>
      <w:r w:rsidR="00EA44C4">
        <w:rPr>
          <w:szCs w:val="24"/>
        </w:rPr>
        <w:t>then applying liquidity, valuation, and quality screening processes</w:t>
      </w:r>
      <w:r w:rsidR="00CB1955">
        <w:rPr>
          <w:szCs w:val="24"/>
        </w:rPr>
        <w:t xml:space="preserve"> as described below</w:t>
      </w:r>
      <w:r w:rsidR="009E0BBB">
        <w:rPr>
          <w:szCs w:val="24"/>
        </w:rPr>
        <w:t>, a</w:t>
      </w:r>
      <w:r w:rsidR="00C20B32">
        <w:rPr>
          <w:szCs w:val="24"/>
        </w:rPr>
        <w:t>longside</w:t>
      </w:r>
      <w:r w:rsidR="009E0BBB">
        <w:rPr>
          <w:szCs w:val="24"/>
        </w:rPr>
        <w:t xml:space="preserve"> </w:t>
      </w:r>
      <w:r w:rsidR="002D79E0">
        <w:rPr>
          <w:szCs w:val="24"/>
        </w:rPr>
        <w:t>bottom-up</w:t>
      </w:r>
      <w:r w:rsidR="009E0BBB">
        <w:rPr>
          <w:szCs w:val="24"/>
        </w:rPr>
        <w:t xml:space="preserve"> fund</w:t>
      </w:r>
      <w:r w:rsidR="00C4538D">
        <w:rPr>
          <w:szCs w:val="24"/>
        </w:rPr>
        <w:t>a</w:t>
      </w:r>
      <w:r w:rsidR="009E0BBB">
        <w:rPr>
          <w:szCs w:val="24"/>
        </w:rPr>
        <w:t>m</w:t>
      </w:r>
      <w:r w:rsidR="00C4538D">
        <w:rPr>
          <w:szCs w:val="24"/>
        </w:rPr>
        <w:t>e</w:t>
      </w:r>
      <w:r w:rsidR="009E0BBB">
        <w:rPr>
          <w:szCs w:val="24"/>
        </w:rPr>
        <w:t xml:space="preserve">ntal research targeting </w:t>
      </w:r>
      <w:r w:rsidR="00922C8A">
        <w:rPr>
          <w:szCs w:val="24"/>
        </w:rPr>
        <w:t xml:space="preserve">specific companies or sectors </w:t>
      </w:r>
      <w:r w:rsidR="00C20B32">
        <w:rPr>
          <w:szCs w:val="24"/>
        </w:rPr>
        <w:t xml:space="preserve">with attractive valuation and quality metrics. </w:t>
      </w:r>
    </w:p>
    <w:p w14:paraId="5DE9A881" w14:textId="2AB01E0A" w:rsidR="00A23FA3" w:rsidRPr="00837CAE" w:rsidRDefault="00A23FA3" w:rsidP="00F77100">
      <w:pPr>
        <w:rPr>
          <w:i/>
          <w:iCs/>
          <w:color w:val="C00000"/>
          <w:sz w:val="18"/>
          <w:szCs w:val="22"/>
        </w:rPr>
      </w:pPr>
    </w:p>
    <w:p w14:paraId="2C7268FD" w14:textId="5650E7A9" w:rsidR="00F40802" w:rsidRPr="00837CAE" w:rsidRDefault="00A23FA3" w:rsidP="00A23FA3">
      <w:pPr>
        <w:rPr>
          <w:szCs w:val="24"/>
        </w:rPr>
      </w:pPr>
      <w:r>
        <w:rPr>
          <w:szCs w:val="24"/>
        </w:rPr>
        <w:t xml:space="preserve">The Fund shall not have any geographic, sectoral or industry focus. </w:t>
      </w:r>
    </w:p>
    <w:p w14:paraId="2EE7EFAE" w14:textId="39F63D74" w:rsidR="00F77100" w:rsidRPr="00EC2858" w:rsidRDefault="00F77100" w:rsidP="002C634D">
      <w:pPr>
        <w:rPr>
          <w:szCs w:val="24"/>
          <w:highlight w:val="yellow"/>
        </w:rPr>
      </w:pPr>
    </w:p>
    <w:p w14:paraId="2413B585" w14:textId="6AE7D067" w:rsidR="005E409B" w:rsidRDefault="00247A92" w:rsidP="005E409B">
      <w:pPr>
        <w:rPr>
          <w:szCs w:val="24"/>
        </w:rPr>
      </w:pPr>
      <w:r>
        <w:rPr>
          <w:szCs w:val="24"/>
        </w:rPr>
        <w:t>The Investment Man</w:t>
      </w:r>
      <w:r w:rsidR="004D5263">
        <w:rPr>
          <w:szCs w:val="24"/>
        </w:rPr>
        <w:t>a</w:t>
      </w:r>
      <w:r>
        <w:rPr>
          <w:szCs w:val="24"/>
        </w:rPr>
        <w:t>ger will apply a liquidity</w:t>
      </w:r>
      <w:r w:rsidR="00BF531F">
        <w:rPr>
          <w:szCs w:val="24"/>
        </w:rPr>
        <w:t xml:space="preserve"> and valuation</w:t>
      </w:r>
      <w:r>
        <w:rPr>
          <w:szCs w:val="24"/>
        </w:rPr>
        <w:t xml:space="preserve"> screening process </w:t>
      </w:r>
      <w:r w:rsidR="002C634D" w:rsidRPr="00A27F38">
        <w:rPr>
          <w:szCs w:val="24"/>
        </w:rPr>
        <w:t xml:space="preserve">along with quantitative </w:t>
      </w:r>
      <w:r w:rsidR="00076075">
        <w:rPr>
          <w:szCs w:val="24"/>
        </w:rPr>
        <w:t xml:space="preserve">or </w:t>
      </w:r>
      <w:r w:rsidR="002C634D" w:rsidRPr="00A27F38">
        <w:rPr>
          <w:szCs w:val="24"/>
        </w:rPr>
        <w:t>qualitative measures</w:t>
      </w:r>
      <w:r w:rsidR="00ED04FA">
        <w:rPr>
          <w:szCs w:val="24"/>
        </w:rPr>
        <w:t>.</w:t>
      </w:r>
      <w:r w:rsidR="002C634D" w:rsidRPr="004F6A72">
        <w:rPr>
          <w:szCs w:val="24"/>
        </w:rPr>
        <w:t xml:space="preserve"> </w:t>
      </w:r>
      <w:r w:rsidR="00180174" w:rsidRPr="004F6A72">
        <w:rPr>
          <w:szCs w:val="24"/>
        </w:rPr>
        <w:t>The</w:t>
      </w:r>
      <w:r w:rsidR="00180174">
        <w:rPr>
          <w:szCs w:val="24"/>
        </w:rPr>
        <w:t xml:space="preserve"> liquidity analysis will have regard to such factors as market capitalisation, the percentage of shares </w:t>
      </w:r>
      <w:r w:rsidR="00180174" w:rsidRPr="00180174">
        <w:rPr>
          <w:szCs w:val="24"/>
        </w:rPr>
        <w:t xml:space="preserve">available to the public for </w:t>
      </w:r>
      <w:r w:rsidR="00180174">
        <w:rPr>
          <w:szCs w:val="24"/>
        </w:rPr>
        <w:t xml:space="preserve">trading in the secondary market (sometimes referred to as the ‘free float’), the average daily </w:t>
      </w:r>
      <w:r w:rsidR="008A1868">
        <w:rPr>
          <w:szCs w:val="24"/>
        </w:rPr>
        <w:t xml:space="preserve">volume of shares traded and the number of days required to realise the cash-value of an individual investment (having regard to certain stress tested scenarios). </w:t>
      </w:r>
      <w:r w:rsidR="00076075">
        <w:rPr>
          <w:szCs w:val="24"/>
        </w:rPr>
        <w:t xml:space="preserve"> The Investment Man</w:t>
      </w:r>
      <w:r w:rsidR="00151D52">
        <w:rPr>
          <w:szCs w:val="24"/>
        </w:rPr>
        <w:t>ager may determine from time to time to invest in a stock which fall</w:t>
      </w:r>
      <w:r w:rsidR="00E13733">
        <w:rPr>
          <w:szCs w:val="24"/>
        </w:rPr>
        <w:t xml:space="preserve">s outside the above </w:t>
      </w:r>
      <w:r w:rsidR="00151D52">
        <w:rPr>
          <w:szCs w:val="24"/>
        </w:rPr>
        <w:t>liquidity parameters, provided that it is satisfied that the individual stock meets other criteria for investment and does not impact on the overall liquidity of the portfolio</w:t>
      </w:r>
      <w:r w:rsidR="00554992">
        <w:rPr>
          <w:szCs w:val="24"/>
        </w:rPr>
        <w:t xml:space="preserve">. </w:t>
      </w:r>
      <w:r w:rsidR="00151D52">
        <w:rPr>
          <w:szCs w:val="24"/>
        </w:rPr>
        <w:t xml:space="preserve"> </w:t>
      </w:r>
      <w:r w:rsidR="005E409B" w:rsidRPr="00A27F38">
        <w:rPr>
          <w:szCs w:val="24"/>
        </w:rPr>
        <w:t xml:space="preserve">Fundamental </w:t>
      </w:r>
      <w:r w:rsidR="005E409B">
        <w:rPr>
          <w:szCs w:val="24"/>
        </w:rPr>
        <w:t xml:space="preserve">detailed </w:t>
      </w:r>
      <w:r w:rsidR="005E409B" w:rsidRPr="00A27F38">
        <w:rPr>
          <w:szCs w:val="24"/>
        </w:rPr>
        <w:t>stock analysis is then conducted on this universe of companies to generate a portfolio.</w:t>
      </w:r>
    </w:p>
    <w:p w14:paraId="46E5D6E6" w14:textId="2A6DE920" w:rsidR="00A27F38" w:rsidRPr="002C634D" w:rsidRDefault="00A27F38" w:rsidP="002C634D">
      <w:pPr>
        <w:rPr>
          <w:szCs w:val="24"/>
          <w:highlight w:val="yellow"/>
        </w:rPr>
      </w:pPr>
    </w:p>
    <w:p w14:paraId="2FD6636F" w14:textId="61E35477" w:rsidR="00F156F6" w:rsidRPr="00F156F6" w:rsidRDefault="00F156F6" w:rsidP="00F156F6">
      <w:pPr>
        <w:rPr>
          <w:szCs w:val="24"/>
        </w:rPr>
      </w:pPr>
      <w:r w:rsidRPr="00F156F6">
        <w:rPr>
          <w:szCs w:val="24"/>
        </w:rPr>
        <w:t xml:space="preserve">In completing </w:t>
      </w:r>
      <w:r w:rsidR="005E409B">
        <w:rPr>
          <w:szCs w:val="24"/>
        </w:rPr>
        <w:t xml:space="preserve">its </w:t>
      </w:r>
      <w:r w:rsidRPr="00F156F6">
        <w:rPr>
          <w:szCs w:val="24"/>
        </w:rPr>
        <w:t>detailed stock analysis, the Investment Manager shall seek out companies with robust top-line growth prospects, market leading products, pricing power in its relevant market and/or cost control, high and/or improving profitability</w:t>
      </w:r>
      <w:r w:rsidR="00790CA1">
        <w:rPr>
          <w:szCs w:val="24"/>
        </w:rPr>
        <w:t>,</w:t>
      </w:r>
      <w:r w:rsidRPr="00F156F6">
        <w:rPr>
          <w:szCs w:val="24"/>
        </w:rPr>
        <w:t xml:space="preserve"> strong balance sheets</w:t>
      </w:r>
      <w:r w:rsidR="00790CA1">
        <w:rPr>
          <w:szCs w:val="24"/>
        </w:rPr>
        <w:t>, and an attractive current valuation</w:t>
      </w:r>
      <w:r w:rsidRPr="00F156F6">
        <w:rPr>
          <w:szCs w:val="24"/>
        </w:rPr>
        <w:t>. The investment team conducts regular meetings with management teams enabling a deeper understanding of a company’s business model, the quality of its management team</w:t>
      </w:r>
      <w:r w:rsidR="00FB1EAB">
        <w:rPr>
          <w:szCs w:val="24"/>
        </w:rPr>
        <w:t>, the</w:t>
      </w:r>
      <w:r w:rsidRPr="00F156F6">
        <w:rPr>
          <w:szCs w:val="24"/>
        </w:rPr>
        <w:t xml:space="preserve"> competitiveness of products and services</w:t>
      </w:r>
      <w:r w:rsidR="00FB1EAB">
        <w:rPr>
          <w:szCs w:val="24"/>
        </w:rPr>
        <w:t xml:space="preserve"> and its ability to meet the ESG criteria for investment</w:t>
      </w:r>
      <w:r w:rsidRPr="00F156F6">
        <w:rPr>
          <w:szCs w:val="24"/>
        </w:rPr>
        <w:t>. The investment team also leverages external research to complement its own fundamental research and analysis. This primarily comprises independent research, brokers, expert network groups to connect with subject matter experts as well as attendance at major industry conferences.</w:t>
      </w:r>
    </w:p>
    <w:p w14:paraId="78E1CA10" w14:textId="77777777" w:rsidR="00F156F6" w:rsidRPr="002C634D" w:rsidRDefault="00F156F6" w:rsidP="00F156F6">
      <w:pPr>
        <w:rPr>
          <w:szCs w:val="24"/>
          <w:highlight w:val="yellow"/>
        </w:rPr>
      </w:pPr>
    </w:p>
    <w:p w14:paraId="1306244F" w14:textId="769FF14F" w:rsidR="00ED60A8" w:rsidRDefault="00F156F6" w:rsidP="00D76A58">
      <w:pPr>
        <w:rPr>
          <w:szCs w:val="24"/>
        </w:rPr>
      </w:pPr>
      <w:r w:rsidRPr="00D61B37">
        <w:rPr>
          <w:szCs w:val="24"/>
        </w:rPr>
        <w:t>The Fund primarily focuses on</w:t>
      </w:r>
      <w:r w:rsidR="00EA5937">
        <w:rPr>
          <w:szCs w:val="24"/>
        </w:rPr>
        <w:t xml:space="preserve"> a</w:t>
      </w:r>
      <w:r w:rsidRPr="00D61B37">
        <w:rPr>
          <w:szCs w:val="24"/>
        </w:rPr>
        <w:t xml:space="preserve"> </w:t>
      </w:r>
      <w:r w:rsidR="00280440" w:rsidRPr="00D61B37">
        <w:rPr>
          <w:szCs w:val="24"/>
        </w:rPr>
        <w:t>“</w:t>
      </w:r>
      <w:r w:rsidR="00EA5937">
        <w:rPr>
          <w:szCs w:val="24"/>
        </w:rPr>
        <w:t>quality value</w:t>
      </w:r>
      <w:r w:rsidR="00280440" w:rsidRPr="00D61B37">
        <w:rPr>
          <w:szCs w:val="24"/>
        </w:rPr>
        <w:t>”</w:t>
      </w:r>
      <w:r w:rsidRPr="00D61B37">
        <w:rPr>
          <w:szCs w:val="24"/>
        </w:rPr>
        <w:t xml:space="preserve"> </w:t>
      </w:r>
      <w:r w:rsidR="00280440" w:rsidRPr="00D61B37">
        <w:rPr>
          <w:szCs w:val="24"/>
        </w:rPr>
        <w:t>investment process whereby it seeks to identify companies that are showing consistent</w:t>
      </w:r>
      <w:r w:rsidR="003D06D9">
        <w:rPr>
          <w:szCs w:val="24"/>
        </w:rPr>
        <w:t xml:space="preserve"> signs of business quality:</w:t>
      </w:r>
      <w:r w:rsidR="00280440" w:rsidRPr="00D61B37">
        <w:rPr>
          <w:szCs w:val="24"/>
        </w:rPr>
        <w:t xml:space="preserve"> earnings growth above broad market levels</w:t>
      </w:r>
      <w:r w:rsidR="003D06D9">
        <w:rPr>
          <w:szCs w:val="24"/>
        </w:rPr>
        <w:t>, high profit margins and returns on capital,</w:t>
      </w:r>
      <w:r w:rsidR="00280440" w:rsidRPr="00D61B37">
        <w:rPr>
          <w:szCs w:val="24"/>
        </w:rPr>
        <w:t xml:space="preserve"> while excluding companies that have high valuations</w:t>
      </w:r>
      <w:r w:rsidR="003D06D9">
        <w:rPr>
          <w:szCs w:val="24"/>
        </w:rPr>
        <w:t xml:space="preserve"> and seeking out those trading on </w:t>
      </w:r>
      <w:r w:rsidR="005D4C75">
        <w:rPr>
          <w:szCs w:val="24"/>
        </w:rPr>
        <w:t>valuation multiples below the market index or sector average</w:t>
      </w:r>
      <w:r w:rsidR="00280440" w:rsidRPr="00D61B37">
        <w:rPr>
          <w:szCs w:val="24"/>
        </w:rPr>
        <w:t xml:space="preserve">. The overarching goal is to avoid the extremes of either growth or </w:t>
      </w:r>
      <w:r w:rsidR="005D4C75">
        <w:rPr>
          <w:szCs w:val="24"/>
        </w:rPr>
        <w:t xml:space="preserve">deep </w:t>
      </w:r>
      <w:r w:rsidR="00280440" w:rsidRPr="00D61B37">
        <w:rPr>
          <w:szCs w:val="24"/>
        </w:rPr>
        <w:t xml:space="preserve">value investing and to seek to </w:t>
      </w:r>
      <w:r w:rsidR="002D79E0" w:rsidRPr="00D61B37">
        <w:rPr>
          <w:szCs w:val="24"/>
        </w:rPr>
        <w:t xml:space="preserve">identify </w:t>
      </w:r>
      <w:r w:rsidR="002D79E0">
        <w:rPr>
          <w:szCs w:val="24"/>
        </w:rPr>
        <w:t>high</w:t>
      </w:r>
      <w:r w:rsidR="005D4C75">
        <w:rPr>
          <w:szCs w:val="24"/>
        </w:rPr>
        <w:t xml:space="preserve"> quality</w:t>
      </w:r>
      <w:r w:rsidR="003A5379">
        <w:rPr>
          <w:szCs w:val="24"/>
        </w:rPr>
        <w:t xml:space="preserve">, growing </w:t>
      </w:r>
      <w:r w:rsidR="00280440" w:rsidRPr="00D61B37">
        <w:rPr>
          <w:szCs w:val="24"/>
        </w:rPr>
        <w:t>stocks with relatively low price/earnings (P/E) multiples in normal market conditions.</w:t>
      </w:r>
      <w:r w:rsidR="006003D9" w:rsidRPr="00D61B37">
        <w:rPr>
          <w:szCs w:val="24"/>
        </w:rPr>
        <w:t xml:space="preserve">  In completing its analysis, the </w:t>
      </w:r>
      <w:r w:rsidR="006927A9" w:rsidRPr="00D61B37">
        <w:rPr>
          <w:szCs w:val="24"/>
        </w:rPr>
        <w:t>Investment</w:t>
      </w:r>
      <w:r w:rsidR="006003D9" w:rsidRPr="00D61B37">
        <w:rPr>
          <w:szCs w:val="24"/>
        </w:rPr>
        <w:t xml:space="preserve"> Manager shall complete </w:t>
      </w:r>
      <w:r w:rsidRPr="00D61B37">
        <w:rPr>
          <w:szCs w:val="24"/>
        </w:rPr>
        <w:t xml:space="preserve">valuation comparisons </w:t>
      </w:r>
      <w:r w:rsidR="006003D9" w:rsidRPr="00D61B37">
        <w:rPr>
          <w:szCs w:val="24"/>
        </w:rPr>
        <w:t xml:space="preserve">for target companies with comparisons against historical </w:t>
      </w:r>
      <w:r w:rsidR="006927A9" w:rsidRPr="00D61B37">
        <w:rPr>
          <w:szCs w:val="24"/>
        </w:rPr>
        <w:t>performance</w:t>
      </w:r>
      <w:r w:rsidR="006003D9" w:rsidRPr="00D61B37">
        <w:rPr>
          <w:szCs w:val="24"/>
        </w:rPr>
        <w:t xml:space="preserve">, peers and the broader market. It shall have regard to such accounting metrics as </w:t>
      </w:r>
      <w:r w:rsidRPr="00D61B37">
        <w:rPr>
          <w:szCs w:val="24"/>
        </w:rPr>
        <w:t xml:space="preserve">price earnings (P/E) </w:t>
      </w:r>
      <w:r w:rsidR="006003D9" w:rsidRPr="00D61B37">
        <w:rPr>
          <w:szCs w:val="24"/>
        </w:rPr>
        <w:t xml:space="preserve">ratios. </w:t>
      </w:r>
      <w:r w:rsidRPr="00D61B37">
        <w:rPr>
          <w:szCs w:val="24"/>
        </w:rPr>
        <w:t xml:space="preserve">price earnings growth (PEG), </w:t>
      </w:r>
      <w:r w:rsidR="00942FAB" w:rsidRPr="00D61B37">
        <w:rPr>
          <w:szCs w:val="24"/>
        </w:rPr>
        <w:t xml:space="preserve">the ratio between enterprise value (EV) to the earnings before interest, taxes, depreciation, and amortization (EBITDA) (referred to as the </w:t>
      </w:r>
      <w:r w:rsidRPr="00D61B37">
        <w:rPr>
          <w:szCs w:val="24"/>
        </w:rPr>
        <w:t>EV/EBITDA</w:t>
      </w:r>
      <w:r w:rsidR="00942FAB" w:rsidRPr="00D61B37">
        <w:rPr>
          <w:szCs w:val="24"/>
        </w:rPr>
        <w:t xml:space="preserve"> ratio)</w:t>
      </w:r>
      <w:r w:rsidR="00954A3F">
        <w:rPr>
          <w:szCs w:val="24"/>
        </w:rPr>
        <w:t xml:space="preserve">, </w:t>
      </w:r>
      <w:r w:rsidRPr="00D61B37">
        <w:rPr>
          <w:szCs w:val="24"/>
        </w:rPr>
        <w:t xml:space="preserve"> </w:t>
      </w:r>
      <w:r w:rsidR="00942FAB" w:rsidRPr="00D61B37">
        <w:rPr>
          <w:szCs w:val="24"/>
        </w:rPr>
        <w:t>the</w:t>
      </w:r>
      <w:r w:rsidR="00D61B37" w:rsidRPr="00D61B37">
        <w:rPr>
          <w:szCs w:val="24"/>
        </w:rPr>
        <w:t xml:space="preserve"> ratio between enterprise value and s</w:t>
      </w:r>
      <w:r w:rsidR="00942FAB" w:rsidRPr="00D61B37">
        <w:rPr>
          <w:szCs w:val="24"/>
        </w:rPr>
        <w:t xml:space="preserve">ales (referred to as the </w:t>
      </w:r>
      <w:r w:rsidRPr="00D61B37">
        <w:rPr>
          <w:szCs w:val="24"/>
        </w:rPr>
        <w:t>EV/Sales</w:t>
      </w:r>
      <w:r w:rsidR="00942FAB" w:rsidRPr="00D61B37">
        <w:rPr>
          <w:szCs w:val="24"/>
        </w:rPr>
        <w:t xml:space="preserve"> ratio)</w:t>
      </w:r>
      <w:r w:rsidR="00954A3F">
        <w:rPr>
          <w:szCs w:val="24"/>
        </w:rPr>
        <w:t>, the return on capital em</w:t>
      </w:r>
      <w:r w:rsidR="00C900F0">
        <w:rPr>
          <w:szCs w:val="24"/>
        </w:rPr>
        <w:t>p</w:t>
      </w:r>
      <w:r w:rsidR="00954A3F">
        <w:rPr>
          <w:szCs w:val="24"/>
        </w:rPr>
        <w:t>loyed (ROCE)</w:t>
      </w:r>
      <w:r w:rsidR="00DE5562">
        <w:rPr>
          <w:szCs w:val="24"/>
        </w:rPr>
        <w:t>, the</w:t>
      </w:r>
      <w:r w:rsidR="00954A3F">
        <w:rPr>
          <w:szCs w:val="24"/>
        </w:rPr>
        <w:t xml:space="preserve"> </w:t>
      </w:r>
      <w:r w:rsidR="00C900F0">
        <w:rPr>
          <w:szCs w:val="24"/>
        </w:rPr>
        <w:t xml:space="preserve">profitability of an investment relative to the cash invested </w:t>
      </w:r>
      <w:r w:rsidR="00DE5562">
        <w:rPr>
          <w:szCs w:val="24"/>
        </w:rPr>
        <w:t xml:space="preserve">(the cash-on-cash return or </w:t>
      </w:r>
      <w:r w:rsidR="00C900F0">
        <w:rPr>
          <w:szCs w:val="24"/>
        </w:rPr>
        <w:t xml:space="preserve">COC) and </w:t>
      </w:r>
      <w:r w:rsidR="00D76A58">
        <w:rPr>
          <w:szCs w:val="24"/>
        </w:rPr>
        <w:t xml:space="preserve">the free cash flow of </w:t>
      </w:r>
      <w:r w:rsidR="00EF5FC0">
        <w:rPr>
          <w:szCs w:val="24"/>
        </w:rPr>
        <w:t xml:space="preserve">the </w:t>
      </w:r>
      <w:r w:rsidR="00D76A58">
        <w:rPr>
          <w:szCs w:val="24"/>
        </w:rPr>
        <w:t>target company</w:t>
      </w:r>
      <w:r w:rsidR="00DE5562">
        <w:rPr>
          <w:szCs w:val="24"/>
        </w:rPr>
        <w:t xml:space="preserve">, </w:t>
      </w:r>
      <w:r w:rsidR="00D76A58">
        <w:rPr>
          <w:szCs w:val="24"/>
        </w:rPr>
        <w:t>being the cash the target generates after accounting for its operating expenses and capital expenditures</w:t>
      </w:r>
      <w:r w:rsidR="00DE5562">
        <w:rPr>
          <w:szCs w:val="24"/>
        </w:rPr>
        <w:t xml:space="preserve"> (FCF</w:t>
      </w:r>
      <w:r w:rsidR="00D76A58">
        <w:rPr>
          <w:szCs w:val="24"/>
        </w:rPr>
        <w:t>)</w:t>
      </w:r>
      <w:r w:rsidRPr="00D61B37">
        <w:rPr>
          <w:szCs w:val="24"/>
        </w:rPr>
        <w:t>. This</w:t>
      </w:r>
      <w:r w:rsidR="00EF5FC0">
        <w:rPr>
          <w:szCs w:val="24"/>
        </w:rPr>
        <w:t xml:space="preserve"> analysis</w:t>
      </w:r>
      <w:r w:rsidRPr="00D61B37">
        <w:rPr>
          <w:szCs w:val="24"/>
        </w:rPr>
        <w:t xml:space="preserve"> is further supported using a discounted cash flow analysis particularly for loss-making companies where earnings multiples are not helpful</w:t>
      </w:r>
      <w:r w:rsidR="00D61B37" w:rsidRPr="00D61B37">
        <w:rPr>
          <w:szCs w:val="24"/>
        </w:rPr>
        <w:t xml:space="preserve"> in understanding future prospects</w:t>
      </w:r>
      <w:r w:rsidRPr="00D61B37">
        <w:rPr>
          <w:szCs w:val="24"/>
        </w:rPr>
        <w:t xml:space="preserve">. The investment team will also screen companies using </w:t>
      </w:r>
      <w:r w:rsidR="00D61B37" w:rsidRPr="00D61B37">
        <w:rPr>
          <w:szCs w:val="24"/>
        </w:rPr>
        <w:t>profitability measures such as return on invested capital and utilise a sum-of-the-p</w:t>
      </w:r>
      <w:r w:rsidRPr="00D61B37">
        <w:rPr>
          <w:szCs w:val="24"/>
        </w:rPr>
        <w:t>arts valuation where appropriate.</w:t>
      </w:r>
      <w:r w:rsidR="00706909">
        <w:rPr>
          <w:szCs w:val="24"/>
        </w:rPr>
        <w:t xml:space="preserve"> </w:t>
      </w:r>
    </w:p>
    <w:p w14:paraId="340D9A5B" w14:textId="77777777" w:rsidR="00286601" w:rsidRDefault="00286601" w:rsidP="006047C4">
      <w:pPr>
        <w:rPr>
          <w:szCs w:val="24"/>
        </w:rPr>
      </w:pPr>
    </w:p>
    <w:p w14:paraId="07C540A0" w14:textId="59BB14AC" w:rsidR="007A191C" w:rsidRDefault="00286601" w:rsidP="002C634D">
      <w:pPr>
        <w:rPr>
          <w:szCs w:val="24"/>
        </w:rPr>
      </w:pPr>
      <w:r>
        <w:rPr>
          <w:szCs w:val="24"/>
        </w:rPr>
        <w:t xml:space="preserve">The </w:t>
      </w:r>
      <w:r w:rsidR="006047C4" w:rsidRPr="006047C4">
        <w:rPr>
          <w:szCs w:val="24"/>
        </w:rPr>
        <w:t xml:space="preserve">sector and regional exposure </w:t>
      </w:r>
      <w:r>
        <w:rPr>
          <w:szCs w:val="24"/>
        </w:rPr>
        <w:t xml:space="preserve">within the Fund shall be driven </w:t>
      </w:r>
      <w:r w:rsidR="006047C4" w:rsidRPr="006047C4">
        <w:rPr>
          <w:szCs w:val="24"/>
        </w:rPr>
        <w:t>by the stock selection process outlined above and the Investment Manager determining to invest in those companies which are best placed to meet the criteria outlined above, regardless of their sector or region. Due to the investment style, the portfolio may not have exposure to certain sectors or regions at a gi</w:t>
      </w:r>
      <w:r>
        <w:rPr>
          <w:szCs w:val="24"/>
        </w:rPr>
        <w:t>ven time.</w:t>
      </w:r>
    </w:p>
    <w:p w14:paraId="0991E6F2" w14:textId="77777777" w:rsidR="00FC54CD" w:rsidRDefault="00FC54CD" w:rsidP="002C634D">
      <w:pPr>
        <w:rPr>
          <w:szCs w:val="24"/>
          <w:highlight w:val="yellow"/>
        </w:rPr>
      </w:pPr>
    </w:p>
    <w:p w14:paraId="0F686F04" w14:textId="15BE94F8" w:rsidR="007A191C" w:rsidRPr="00577BF5" w:rsidRDefault="007A191C" w:rsidP="002C634D">
      <w:pPr>
        <w:rPr>
          <w:i/>
          <w:szCs w:val="24"/>
        </w:rPr>
      </w:pPr>
      <w:r w:rsidRPr="00577BF5">
        <w:rPr>
          <w:i/>
          <w:szCs w:val="24"/>
        </w:rPr>
        <w:t>Application of ESG Criteria</w:t>
      </w:r>
    </w:p>
    <w:p w14:paraId="74FCF996" w14:textId="77777777" w:rsidR="007A191C" w:rsidRPr="00577BF5" w:rsidRDefault="007A191C" w:rsidP="002C634D">
      <w:pPr>
        <w:rPr>
          <w:szCs w:val="24"/>
        </w:rPr>
      </w:pPr>
    </w:p>
    <w:p w14:paraId="324C2CD1" w14:textId="5A59B2B0" w:rsidR="002549ED" w:rsidRDefault="0056204E" w:rsidP="0056204E">
      <w:pPr>
        <w:rPr>
          <w:szCs w:val="24"/>
        </w:rPr>
      </w:pPr>
      <w:r>
        <w:rPr>
          <w:szCs w:val="24"/>
        </w:rPr>
        <w:t xml:space="preserve">The Investment Manager shall apply </w:t>
      </w:r>
      <w:r w:rsidRPr="00577BF5">
        <w:rPr>
          <w:szCs w:val="24"/>
        </w:rPr>
        <w:t>positive ESG screening when selecting investments</w:t>
      </w:r>
      <w:r w:rsidR="008952E0">
        <w:rPr>
          <w:szCs w:val="24"/>
        </w:rPr>
        <w:t xml:space="preserve"> </w:t>
      </w:r>
      <w:r w:rsidR="00D76A58">
        <w:rPr>
          <w:szCs w:val="24"/>
        </w:rPr>
        <w:t xml:space="preserve">in </w:t>
      </w:r>
      <w:r w:rsidR="002D79E0">
        <w:rPr>
          <w:szCs w:val="24"/>
        </w:rPr>
        <w:t>order to</w:t>
      </w:r>
      <w:r w:rsidR="008F4DBB">
        <w:rPr>
          <w:szCs w:val="24"/>
        </w:rPr>
        <w:t xml:space="preserve"> favour </w:t>
      </w:r>
      <w:r w:rsidR="00E24E2D">
        <w:rPr>
          <w:szCs w:val="24"/>
        </w:rPr>
        <w:t>the asset classes</w:t>
      </w:r>
      <w:r w:rsidR="00105B24">
        <w:rPr>
          <w:szCs w:val="24"/>
        </w:rPr>
        <w:t xml:space="preserve"> set out above </w:t>
      </w:r>
      <w:r w:rsidR="008F4DBB">
        <w:rPr>
          <w:szCs w:val="24"/>
        </w:rPr>
        <w:t xml:space="preserve">which meet </w:t>
      </w:r>
      <w:r w:rsidR="00D76A58" w:rsidRPr="004F6A72">
        <w:rPr>
          <w:szCs w:val="24"/>
        </w:rPr>
        <w:t xml:space="preserve">ESG </w:t>
      </w:r>
      <w:r w:rsidR="008F4DBB" w:rsidRPr="004F6A72">
        <w:rPr>
          <w:szCs w:val="24"/>
        </w:rPr>
        <w:t>criteria.</w:t>
      </w:r>
      <w:r w:rsidR="008F4DBB">
        <w:rPr>
          <w:szCs w:val="24"/>
        </w:rPr>
        <w:t xml:space="preserve"> </w:t>
      </w:r>
      <w:r w:rsidR="00B97AC8">
        <w:rPr>
          <w:szCs w:val="24"/>
        </w:rPr>
        <w:t xml:space="preserve"> </w:t>
      </w:r>
      <w:r w:rsidR="008E0C76">
        <w:rPr>
          <w:szCs w:val="24"/>
        </w:rPr>
        <w:t xml:space="preserve">The </w:t>
      </w:r>
      <w:r w:rsidRPr="00577BF5">
        <w:rPr>
          <w:szCs w:val="24"/>
        </w:rPr>
        <w:t xml:space="preserve">ESG criteria which may be reviewed include </w:t>
      </w:r>
      <w:r w:rsidR="00A536D6">
        <w:rPr>
          <w:szCs w:val="24"/>
        </w:rPr>
        <w:t xml:space="preserve">(a) </w:t>
      </w:r>
      <w:r w:rsidR="006927A9" w:rsidRPr="00577BF5">
        <w:rPr>
          <w:szCs w:val="24"/>
        </w:rPr>
        <w:t>greenhouse</w:t>
      </w:r>
      <w:r w:rsidRPr="00577BF5">
        <w:rPr>
          <w:szCs w:val="24"/>
        </w:rPr>
        <w:t xml:space="preserve"> gas emissions</w:t>
      </w:r>
      <w:r w:rsidR="00A536D6">
        <w:rPr>
          <w:szCs w:val="24"/>
        </w:rPr>
        <w:t>,</w:t>
      </w:r>
      <w:r w:rsidR="00AA3218">
        <w:rPr>
          <w:szCs w:val="24"/>
        </w:rPr>
        <w:t xml:space="preserve"> </w:t>
      </w:r>
      <w:r w:rsidR="00A536D6">
        <w:rPr>
          <w:szCs w:val="24"/>
        </w:rPr>
        <w:t>the use of raw materials and contribution to the circular economy,</w:t>
      </w:r>
      <w:r w:rsidRPr="00577BF5">
        <w:rPr>
          <w:szCs w:val="24"/>
        </w:rPr>
        <w:t xml:space="preserve"> </w:t>
      </w:r>
      <w:r w:rsidR="00082D26">
        <w:rPr>
          <w:szCs w:val="24"/>
        </w:rPr>
        <w:t>the use of renewable energy,</w:t>
      </w:r>
      <w:r w:rsidR="00AA3218">
        <w:rPr>
          <w:szCs w:val="24"/>
        </w:rPr>
        <w:t xml:space="preserve"> recycling,</w:t>
      </w:r>
      <w:r w:rsidR="00082D26">
        <w:rPr>
          <w:szCs w:val="24"/>
        </w:rPr>
        <w:t xml:space="preserve"> </w:t>
      </w:r>
      <w:r w:rsidR="00A536D6">
        <w:rPr>
          <w:szCs w:val="24"/>
        </w:rPr>
        <w:t xml:space="preserve">the use of water and land and the production of waste </w:t>
      </w:r>
      <w:r>
        <w:rPr>
          <w:szCs w:val="24"/>
        </w:rPr>
        <w:t>for the environmental characteristics</w:t>
      </w:r>
      <w:r w:rsidR="007A73CA">
        <w:rPr>
          <w:szCs w:val="24"/>
        </w:rPr>
        <w:t xml:space="preserve"> and</w:t>
      </w:r>
      <w:r w:rsidR="00A536D6">
        <w:rPr>
          <w:szCs w:val="24"/>
        </w:rPr>
        <w:t xml:space="preserve"> (b) contribution to tackling inequality</w:t>
      </w:r>
      <w:r w:rsidR="005B2553">
        <w:rPr>
          <w:szCs w:val="24"/>
        </w:rPr>
        <w:t xml:space="preserve"> in pay and other </w:t>
      </w:r>
      <w:r w:rsidR="00866F5D">
        <w:rPr>
          <w:szCs w:val="24"/>
        </w:rPr>
        <w:t>respects</w:t>
      </w:r>
      <w:r w:rsidR="00A536D6">
        <w:rPr>
          <w:szCs w:val="24"/>
        </w:rPr>
        <w:t xml:space="preserve">, </w:t>
      </w:r>
      <w:r w:rsidR="00A536D6">
        <w:rPr>
          <w:szCs w:val="24"/>
        </w:rPr>
        <w:lastRenderedPageBreak/>
        <w:t>labour relations</w:t>
      </w:r>
      <w:r w:rsidR="00AA3218">
        <w:rPr>
          <w:szCs w:val="24"/>
        </w:rPr>
        <w:t xml:space="preserve"> and employee wellbeing</w:t>
      </w:r>
      <w:r w:rsidR="00A536D6">
        <w:rPr>
          <w:szCs w:val="24"/>
        </w:rPr>
        <w:t xml:space="preserve">, </w:t>
      </w:r>
      <w:r w:rsidR="00082D26">
        <w:rPr>
          <w:szCs w:val="24"/>
        </w:rPr>
        <w:t xml:space="preserve">investment in economically or socially disadvantaged communities, </w:t>
      </w:r>
      <w:r w:rsidRPr="00577BF5">
        <w:rPr>
          <w:szCs w:val="24"/>
        </w:rPr>
        <w:t xml:space="preserve">board diversity, senior female management representation </w:t>
      </w:r>
      <w:r w:rsidR="00AC252D">
        <w:rPr>
          <w:szCs w:val="24"/>
        </w:rPr>
        <w:t>for the social characteristics</w:t>
      </w:r>
      <w:r w:rsidRPr="00577BF5">
        <w:rPr>
          <w:szCs w:val="24"/>
        </w:rPr>
        <w:t xml:space="preserve">.  The Investment Manager shall also have regard to such factors as executive compensation, board independence and business ethics </w:t>
      </w:r>
      <w:r w:rsidR="00FD65CA" w:rsidRPr="00FD65CA">
        <w:rPr>
          <w:szCs w:val="24"/>
        </w:rPr>
        <w:t xml:space="preserve">sound management structures, employee relations, remuneration of staff and tax compliance </w:t>
      </w:r>
      <w:r w:rsidRPr="00577BF5">
        <w:rPr>
          <w:szCs w:val="24"/>
        </w:rPr>
        <w:t xml:space="preserve">when considering whether the proposed investment </w:t>
      </w:r>
      <w:r>
        <w:rPr>
          <w:szCs w:val="24"/>
        </w:rPr>
        <w:t>follows good governance practices.</w:t>
      </w:r>
    </w:p>
    <w:p w14:paraId="706B930D" w14:textId="77777777" w:rsidR="003E52C3" w:rsidRDefault="003E52C3" w:rsidP="003E52C3">
      <w:pPr>
        <w:rPr>
          <w:szCs w:val="24"/>
        </w:rPr>
      </w:pPr>
    </w:p>
    <w:p w14:paraId="27EA1CCD" w14:textId="14F507BF" w:rsidR="002549ED" w:rsidRDefault="00AA3218" w:rsidP="0056204E">
      <w:r w:rsidRPr="00AA3218">
        <w:rPr>
          <w:szCs w:val="24"/>
        </w:rPr>
        <w:t xml:space="preserve">The Investment Manager </w:t>
      </w:r>
      <w:r>
        <w:rPr>
          <w:szCs w:val="24"/>
        </w:rPr>
        <w:t xml:space="preserve">will </w:t>
      </w:r>
      <w:r w:rsidR="00C57DC9">
        <w:rPr>
          <w:szCs w:val="24"/>
        </w:rPr>
        <w:t xml:space="preserve">favour </w:t>
      </w:r>
      <w:r w:rsidRPr="00AA3218">
        <w:rPr>
          <w:szCs w:val="24"/>
        </w:rPr>
        <w:t xml:space="preserve">positive ESG score </w:t>
      </w:r>
      <w:r w:rsidR="00804C65">
        <w:rPr>
          <w:szCs w:val="24"/>
        </w:rPr>
        <w:t>investments</w:t>
      </w:r>
      <w:r w:rsidR="00E24E2D" w:rsidRPr="00AA3218">
        <w:rPr>
          <w:szCs w:val="24"/>
        </w:rPr>
        <w:t xml:space="preserve"> </w:t>
      </w:r>
      <w:r>
        <w:rPr>
          <w:szCs w:val="24"/>
        </w:rPr>
        <w:t xml:space="preserve">but may </w:t>
      </w:r>
      <w:r w:rsidR="00C57DC9">
        <w:rPr>
          <w:szCs w:val="24"/>
        </w:rPr>
        <w:t xml:space="preserve">determine to invest in </w:t>
      </w:r>
      <w:r w:rsidR="00323E4A">
        <w:rPr>
          <w:szCs w:val="24"/>
        </w:rPr>
        <w:t xml:space="preserve">eligible assets </w:t>
      </w:r>
      <w:r w:rsidR="00C57DC9">
        <w:rPr>
          <w:szCs w:val="24"/>
        </w:rPr>
        <w:t xml:space="preserve">with a lower </w:t>
      </w:r>
      <w:r w:rsidRPr="00AA3218">
        <w:rPr>
          <w:szCs w:val="24"/>
        </w:rPr>
        <w:t xml:space="preserve">ESG score </w:t>
      </w:r>
      <w:r w:rsidR="00C57DC9">
        <w:rPr>
          <w:szCs w:val="24"/>
        </w:rPr>
        <w:t xml:space="preserve">where it is satisfied that such </w:t>
      </w:r>
      <w:r w:rsidR="00323E4A">
        <w:rPr>
          <w:szCs w:val="24"/>
        </w:rPr>
        <w:t xml:space="preserve">eligible asset </w:t>
      </w:r>
      <w:r w:rsidR="00C57DC9">
        <w:rPr>
          <w:szCs w:val="24"/>
        </w:rPr>
        <w:t xml:space="preserve">has demonstrated a </w:t>
      </w:r>
      <w:r w:rsidRPr="00AA3218">
        <w:rPr>
          <w:szCs w:val="24"/>
        </w:rPr>
        <w:t>positive rate of change</w:t>
      </w:r>
      <w:r w:rsidR="00C57DC9">
        <w:rPr>
          <w:szCs w:val="24"/>
        </w:rPr>
        <w:t xml:space="preserve"> and it believes that a </w:t>
      </w:r>
      <w:r w:rsidR="00A64A10">
        <w:rPr>
          <w:szCs w:val="24"/>
        </w:rPr>
        <w:t xml:space="preserve">change by such target </w:t>
      </w:r>
      <w:r w:rsidR="00804C65">
        <w:rPr>
          <w:szCs w:val="24"/>
        </w:rPr>
        <w:t xml:space="preserve">asset </w:t>
      </w:r>
      <w:r w:rsidR="00A64A10">
        <w:rPr>
          <w:szCs w:val="24"/>
        </w:rPr>
        <w:t>will have a material impact in promoting environmental or social characteristics</w:t>
      </w:r>
      <w:r w:rsidRPr="00AA3218">
        <w:rPr>
          <w:szCs w:val="24"/>
        </w:rPr>
        <w:t>. The Investment Manager will seek to understand the financial materiality associated with achieving a positive rate of cha</w:t>
      </w:r>
      <w:r w:rsidR="00C57DC9">
        <w:rPr>
          <w:szCs w:val="24"/>
        </w:rPr>
        <w:t>nge in ESG scores for a</w:t>
      </w:r>
      <w:r w:rsidR="00804C65">
        <w:rPr>
          <w:szCs w:val="24"/>
        </w:rPr>
        <w:t>n eligible asset</w:t>
      </w:r>
      <w:r w:rsidRPr="00AA3218">
        <w:rPr>
          <w:szCs w:val="24"/>
        </w:rPr>
        <w:t>, whether that is through management strategic initiatives with regards to ESG issues</w:t>
      </w:r>
      <w:r w:rsidR="00C57DC9">
        <w:rPr>
          <w:szCs w:val="24"/>
        </w:rPr>
        <w:t xml:space="preserve"> or other factors</w:t>
      </w:r>
      <w:r w:rsidRPr="00AA3218">
        <w:rPr>
          <w:szCs w:val="24"/>
        </w:rPr>
        <w:t>.</w:t>
      </w:r>
      <w:r w:rsidR="00C57DC9">
        <w:rPr>
          <w:szCs w:val="24"/>
        </w:rPr>
        <w:t xml:space="preserve"> </w:t>
      </w:r>
      <w:r w:rsidR="00C57DC9" w:rsidRPr="005B2553">
        <w:rPr>
          <w:szCs w:val="24"/>
        </w:rPr>
        <w:t xml:space="preserve">The Investment Manager may engage with the </w:t>
      </w:r>
      <w:r w:rsidR="00804C65">
        <w:rPr>
          <w:szCs w:val="24"/>
        </w:rPr>
        <w:t>eligible assets</w:t>
      </w:r>
      <w:r w:rsidR="00804C65" w:rsidRPr="005B2553">
        <w:rPr>
          <w:szCs w:val="24"/>
        </w:rPr>
        <w:t xml:space="preserve"> </w:t>
      </w:r>
      <w:r w:rsidR="00C57DC9" w:rsidRPr="005B2553">
        <w:rPr>
          <w:szCs w:val="24"/>
        </w:rPr>
        <w:t>it invests in, ie where significant ESG risks or areas for improvement are identifie</w:t>
      </w:r>
      <w:r w:rsidR="00C57DC9">
        <w:rPr>
          <w:szCs w:val="24"/>
        </w:rPr>
        <w:t>d, with a view to implementing such improvement</w:t>
      </w:r>
      <w:r w:rsidR="00C57DC9" w:rsidRPr="005B2553">
        <w:rPr>
          <w:szCs w:val="24"/>
        </w:rPr>
        <w:t>.</w:t>
      </w:r>
      <w:r w:rsidR="00C57DC9">
        <w:rPr>
          <w:szCs w:val="24"/>
        </w:rPr>
        <w:t xml:space="preserve"> </w:t>
      </w:r>
      <w:r w:rsidR="0056204E" w:rsidRPr="0056204E">
        <w:rPr>
          <w:szCs w:val="24"/>
        </w:rPr>
        <w:t>Where disclosure is not available, more cautious consideration is given to the investment.</w:t>
      </w:r>
      <w:r w:rsidR="005B2553" w:rsidRPr="005B2553">
        <w:t xml:space="preserve"> </w:t>
      </w:r>
    </w:p>
    <w:p w14:paraId="3B14503B" w14:textId="77777777" w:rsidR="00F93A3D" w:rsidRDefault="00F93A3D" w:rsidP="0056204E">
      <w:pPr>
        <w:rPr>
          <w:color w:val="C00000"/>
        </w:rPr>
      </w:pPr>
    </w:p>
    <w:p w14:paraId="195A495F" w14:textId="6D4B39A9" w:rsidR="00BC39D3" w:rsidRDefault="00BC39D3" w:rsidP="0056204E">
      <w:pPr>
        <w:rPr>
          <w:color w:val="C00000"/>
        </w:rPr>
      </w:pPr>
      <w:r w:rsidRPr="005B2553">
        <w:rPr>
          <w:szCs w:val="24"/>
        </w:rPr>
        <w:t>The Investment Manager</w:t>
      </w:r>
      <w:r w:rsidR="00521E4F">
        <w:rPr>
          <w:szCs w:val="24"/>
        </w:rPr>
        <w:t xml:space="preserve"> will run a concentrated portfolio of 30 to 50 stocks, which allows the investment team to do detailed due diligence on every portfolio holding prior to investment, as well as over the lifetime of the holding in the port</w:t>
      </w:r>
      <w:r w:rsidR="00762720">
        <w:rPr>
          <w:szCs w:val="24"/>
        </w:rPr>
        <w:t>folio.  A core aspect of this due diligence is engagement with the management teams of target investment companies</w:t>
      </w:r>
      <w:r w:rsidR="00E55B3C">
        <w:rPr>
          <w:szCs w:val="24"/>
        </w:rPr>
        <w:t xml:space="preserve"> on all aspects of the operation of the business, the outlook for the company and its sector, major risks the business faces, and </w:t>
      </w:r>
      <w:r w:rsidR="00173F1F">
        <w:rPr>
          <w:szCs w:val="24"/>
        </w:rPr>
        <w:t>how the management team is working towards company and sector relevant environment</w:t>
      </w:r>
      <w:r w:rsidR="00E5196E">
        <w:rPr>
          <w:szCs w:val="24"/>
        </w:rPr>
        <w:t>al</w:t>
      </w:r>
      <w:r w:rsidR="00173F1F">
        <w:rPr>
          <w:szCs w:val="24"/>
        </w:rPr>
        <w:t xml:space="preserve">, social, and governance </w:t>
      </w:r>
      <w:r w:rsidR="00173F1F" w:rsidRPr="00FC54CD">
        <w:rPr>
          <w:szCs w:val="24"/>
        </w:rPr>
        <w:t>targets.</w:t>
      </w:r>
      <w:r w:rsidR="00C20FA7" w:rsidRPr="00FC54CD">
        <w:rPr>
          <w:szCs w:val="24"/>
        </w:rPr>
        <w:t xml:space="preserve">  The process involves engaging regularly with </w:t>
      </w:r>
      <w:r w:rsidR="008F43C0" w:rsidRPr="00FC54CD">
        <w:rPr>
          <w:szCs w:val="24"/>
        </w:rPr>
        <w:t xml:space="preserve">the </w:t>
      </w:r>
      <w:r w:rsidR="00C20FA7" w:rsidRPr="00FC54CD">
        <w:rPr>
          <w:szCs w:val="24"/>
        </w:rPr>
        <w:t>investor relations departments</w:t>
      </w:r>
      <w:r w:rsidR="008F43C0" w:rsidRPr="00FC54CD">
        <w:rPr>
          <w:szCs w:val="24"/>
        </w:rPr>
        <w:t xml:space="preserve"> and/or the management teams</w:t>
      </w:r>
      <w:r w:rsidR="00C20FA7" w:rsidRPr="00FC54CD">
        <w:rPr>
          <w:szCs w:val="24"/>
        </w:rPr>
        <w:t xml:space="preserve"> of target companies during the research phase of a new investment idea, highlighting the core ESG factors </w:t>
      </w:r>
      <w:r w:rsidR="008F43C0" w:rsidRPr="00FC54CD">
        <w:rPr>
          <w:szCs w:val="24"/>
        </w:rPr>
        <w:t xml:space="preserve">that the Fund is </w:t>
      </w:r>
      <w:r w:rsidR="00C20FA7" w:rsidRPr="00FC54CD">
        <w:rPr>
          <w:szCs w:val="24"/>
        </w:rPr>
        <w:t xml:space="preserve">focussed on and requesting information and engagement on the company’s own ESG strategy, targets, and frameworks. Engagement with senior management as part of the investment research process includes questioning on ESG factors to understand targets as well as raising issues the investment team feels are important for the </w:t>
      </w:r>
      <w:r w:rsidR="008F43C0" w:rsidRPr="00FC54CD">
        <w:rPr>
          <w:szCs w:val="24"/>
        </w:rPr>
        <w:t xml:space="preserve">target </w:t>
      </w:r>
      <w:r w:rsidR="00C20FA7" w:rsidRPr="00FC54CD">
        <w:rPr>
          <w:szCs w:val="24"/>
        </w:rPr>
        <w:t>company to consider.  The investment team will also maintain ongoing engagement with company investor relations and management teams on existing as well as emerging ESG factors. In the event of new controversies which challenge any major ESG factor, the investment team will engage actively on these issues.</w:t>
      </w:r>
    </w:p>
    <w:p w14:paraId="3C1E71A2" w14:textId="77777777" w:rsidR="0056204E" w:rsidRPr="00577BF5" w:rsidRDefault="0056204E" w:rsidP="0056204E">
      <w:pPr>
        <w:rPr>
          <w:szCs w:val="24"/>
        </w:rPr>
      </w:pPr>
    </w:p>
    <w:p w14:paraId="68EF54D4" w14:textId="113E8A32" w:rsidR="00963BB2" w:rsidRDefault="002C634D" w:rsidP="002C634D">
      <w:r w:rsidRPr="00232198">
        <w:rPr>
          <w:szCs w:val="24"/>
        </w:rPr>
        <w:t xml:space="preserve">As part of its investment process, the investment team also applies </w:t>
      </w:r>
      <w:r w:rsidR="005E0DDC" w:rsidRPr="00232198">
        <w:rPr>
          <w:szCs w:val="24"/>
        </w:rPr>
        <w:t xml:space="preserve">exclusionary </w:t>
      </w:r>
      <w:r w:rsidRPr="00232198">
        <w:rPr>
          <w:szCs w:val="24"/>
        </w:rPr>
        <w:t>ESG criteria</w:t>
      </w:r>
      <w:r w:rsidR="00946973" w:rsidRPr="00232198">
        <w:rPr>
          <w:szCs w:val="24"/>
        </w:rPr>
        <w:t xml:space="preserve">, </w:t>
      </w:r>
      <w:r w:rsidRPr="00232198">
        <w:rPr>
          <w:szCs w:val="24"/>
        </w:rPr>
        <w:t>resulting in the exclusion of certain s</w:t>
      </w:r>
      <w:r w:rsidR="00963BB2">
        <w:rPr>
          <w:szCs w:val="24"/>
        </w:rPr>
        <w:t xml:space="preserve">ecurities where the relevant issuers </w:t>
      </w:r>
      <w:r w:rsidR="00392D43">
        <w:rPr>
          <w:szCs w:val="24"/>
        </w:rPr>
        <w:t xml:space="preserve">derive revenue above </w:t>
      </w:r>
      <w:r w:rsidR="00F951AF">
        <w:rPr>
          <w:szCs w:val="24"/>
        </w:rPr>
        <w:t xml:space="preserve">defined </w:t>
      </w:r>
      <w:r w:rsidR="00392D43">
        <w:rPr>
          <w:szCs w:val="24"/>
        </w:rPr>
        <w:t xml:space="preserve">thresholds from certain industries or activities that </w:t>
      </w:r>
      <w:r w:rsidR="007A777D">
        <w:rPr>
          <w:szCs w:val="24"/>
        </w:rPr>
        <w:t xml:space="preserve">are harmful to </w:t>
      </w:r>
      <w:r w:rsidR="00392D43">
        <w:rPr>
          <w:szCs w:val="24"/>
        </w:rPr>
        <w:t xml:space="preserve">environmental or social characteristics, including </w:t>
      </w:r>
      <w:r w:rsidR="00CE4BC9">
        <w:rPr>
          <w:szCs w:val="24"/>
        </w:rPr>
        <w:t xml:space="preserve">coal mining, coal extraction or coal power production, oil extraction, oil production, </w:t>
      </w:r>
      <w:r w:rsidR="00963BB2">
        <w:rPr>
          <w:szCs w:val="24"/>
        </w:rPr>
        <w:t xml:space="preserve">tobacco production and tobacco related products and services, civilian firearms production, gambling related products and services, alcohol production, </w:t>
      </w:r>
      <w:r w:rsidR="00866F5D">
        <w:rPr>
          <w:szCs w:val="24"/>
        </w:rPr>
        <w:t>cannabis</w:t>
      </w:r>
      <w:r w:rsidR="00963BB2">
        <w:rPr>
          <w:szCs w:val="24"/>
        </w:rPr>
        <w:t xml:space="preserve"> </w:t>
      </w:r>
      <w:r w:rsidR="00963BB2" w:rsidRPr="00A82A9A">
        <w:t xml:space="preserve">production, and offensive weapons manufacturing and </w:t>
      </w:r>
      <w:r w:rsidR="00963BB2">
        <w:t xml:space="preserve">the </w:t>
      </w:r>
      <w:r w:rsidR="00963BB2" w:rsidRPr="00A82A9A">
        <w:t>manufacture of nuclear warheads or whole nuclear missiles outside of the Non-Proliferation Treaty</w:t>
      </w:r>
      <w:r w:rsidR="0053188A">
        <w:t>.</w:t>
      </w:r>
      <w:r w:rsidR="00392D43">
        <w:t xml:space="preserve">  The relevant thresholds of revenue for exclusion of such companies are set out below.</w:t>
      </w:r>
    </w:p>
    <w:p w14:paraId="1B1CE651" w14:textId="7F9ADA76" w:rsidR="00392D43" w:rsidRPr="00837CAE" w:rsidRDefault="00392D43" w:rsidP="00837CAE">
      <w:pPr>
        <w:rPr>
          <w:rFonts w:cs="Arial"/>
          <w:i/>
          <w:iCs/>
          <w:color w:val="C00000"/>
          <w:sz w:val="18"/>
          <w:szCs w:val="18"/>
        </w:rPr>
      </w:pPr>
    </w:p>
    <w:tbl>
      <w:tblPr>
        <w:tblStyle w:val="TableGrid"/>
        <w:tblW w:w="8358" w:type="dxa"/>
        <w:tblInd w:w="709" w:type="dxa"/>
        <w:tblLayout w:type="fixed"/>
        <w:tblLook w:val="04A0" w:firstRow="1" w:lastRow="0" w:firstColumn="1" w:lastColumn="0" w:noHBand="0" w:noVBand="1"/>
      </w:tblPr>
      <w:tblGrid>
        <w:gridCol w:w="3681"/>
        <w:gridCol w:w="2976"/>
        <w:gridCol w:w="1701"/>
      </w:tblGrid>
      <w:tr w:rsidR="00392D43" w14:paraId="5EE78786" w14:textId="77777777" w:rsidTr="00EC2858">
        <w:tc>
          <w:tcPr>
            <w:tcW w:w="8358" w:type="dxa"/>
            <w:gridSpan w:val="3"/>
          </w:tcPr>
          <w:p w14:paraId="3EBC7529" w14:textId="77777777" w:rsidR="00392D43" w:rsidRPr="00CE11C3" w:rsidRDefault="00392D43" w:rsidP="00801B19">
            <w:pPr>
              <w:spacing w:after="260"/>
              <w:rPr>
                <w:rFonts w:eastAsia="Arial" w:cs="Arial"/>
                <w:b/>
                <w:bCs/>
                <w:sz w:val="19"/>
                <w:szCs w:val="19"/>
              </w:rPr>
            </w:pPr>
            <w:r w:rsidRPr="00CE11C3">
              <w:rPr>
                <w:rFonts w:eastAsia="Arial" w:cs="Arial"/>
                <w:b/>
                <w:bCs/>
                <w:sz w:val="19"/>
                <w:szCs w:val="19"/>
              </w:rPr>
              <w:t>Threshold Exclusions</w:t>
            </w:r>
          </w:p>
        </w:tc>
      </w:tr>
      <w:tr w:rsidR="00392D43" w14:paraId="6692996D" w14:textId="77777777" w:rsidTr="00EC2858">
        <w:trPr>
          <w:trHeight w:val="256"/>
        </w:trPr>
        <w:tc>
          <w:tcPr>
            <w:tcW w:w="3681" w:type="dxa"/>
          </w:tcPr>
          <w:p w14:paraId="73471384" w14:textId="77777777" w:rsidR="00392D43" w:rsidRPr="00CE11C3" w:rsidRDefault="00392D43" w:rsidP="00801B19">
            <w:pPr>
              <w:spacing w:after="260"/>
              <w:rPr>
                <w:rFonts w:eastAsia="Arial" w:cs="Arial"/>
                <w:b/>
                <w:bCs/>
                <w:sz w:val="19"/>
                <w:szCs w:val="19"/>
              </w:rPr>
            </w:pPr>
            <w:r w:rsidRPr="00CE11C3">
              <w:rPr>
                <w:rFonts w:eastAsia="Arial" w:cs="Arial"/>
                <w:b/>
                <w:bCs/>
                <w:sz w:val="19"/>
                <w:szCs w:val="19"/>
              </w:rPr>
              <w:t>Exclusion</w:t>
            </w:r>
          </w:p>
        </w:tc>
        <w:tc>
          <w:tcPr>
            <w:tcW w:w="2976" w:type="dxa"/>
          </w:tcPr>
          <w:p w14:paraId="08C4A81E" w14:textId="77777777" w:rsidR="00392D43" w:rsidRPr="00CE11C3" w:rsidRDefault="00392D43" w:rsidP="00801B19">
            <w:pPr>
              <w:spacing w:after="260"/>
              <w:rPr>
                <w:rFonts w:eastAsia="Arial" w:cs="Arial"/>
                <w:b/>
                <w:bCs/>
                <w:sz w:val="19"/>
                <w:szCs w:val="19"/>
              </w:rPr>
            </w:pPr>
            <w:r w:rsidRPr="00CE11C3">
              <w:rPr>
                <w:rFonts w:eastAsia="Arial" w:cs="Arial"/>
                <w:b/>
                <w:bCs/>
                <w:sz w:val="19"/>
                <w:szCs w:val="19"/>
              </w:rPr>
              <w:t>Factor</w:t>
            </w:r>
          </w:p>
        </w:tc>
        <w:tc>
          <w:tcPr>
            <w:tcW w:w="1701" w:type="dxa"/>
          </w:tcPr>
          <w:p w14:paraId="7B722F6E" w14:textId="77777777" w:rsidR="00392D43" w:rsidRPr="00CE11C3" w:rsidRDefault="00392D43" w:rsidP="00801B19">
            <w:pPr>
              <w:spacing w:after="260"/>
              <w:rPr>
                <w:rFonts w:eastAsia="Arial" w:cs="Arial"/>
                <w:b/>
                <w:bCs/>
                <w:sz w:val="19"/>
                <w:szCs w:val="19"/>
              </w:rPr>
            </w:pPr>
            <w:r w:rsidRPr="00CE11C3">
              <w:rPr>
                <w:rFonts w:eastAsia="Arial" w:cs="Arial"/>
                <w:b/>
                <w:bCs/>
                <w:sz w:val="19"/>
                <w:szCs w:val="19"/>
              </w:rPr>
              <w:t>Revenue Threshold</w:t>
            </w:r>
          </w:p>
        </w:tc>
      </w:tr>
      <w:tr w:rsidR="00CE4BC9" w14:paraId="3C2F7E81" w14:textId="77777777" w:rsidTr="00EC2858">
        <w:tc>
          <w:tcPr>
            <w:tcW w:w="3681" w:type="dxa"/>
          </w:tcPr>
          <w:p w14:paraId="0143E3CA" w14:textId="2952BE68" w:rsidR="00CE4BC9" w:rsidRDefault="00CE4BC9" w:rsidP="00801B19">
            <w:pPr>
              <w:spacing w:after="260"/>
              <w:rPr>
                <w:rFonts w:eastAsia="Arial" w:cs="Arial"/>
                <w:sz w:val="19"/>
                <w:szCs w:val="19"/>
              </w:rPr>
            </w:pPr>
            <w:r>
              <w:rPr>
                <w:rFonts w:eastAsia="Arial" w:cs="Arial"/>
                <w:sz w:val="19"/>
                <w:szCs w:val="19"/>
              </w:rPr>
              <w:t xml:space="preserve">Coal </w:t>
            </w:r>
          </w:p>
        </w:tc>
        <w:tc>
          <w:tcPr>
            <w:tcW w:w="2976" w:type="dxa"/>
          </w:tcPr>
          <w:p w14:paraId="28967C7C" w14:textId="77777777" w:rsidR="00CE4BC9" w:rsidRDefault="00CE4BC9" w:rsidP="00EC2858">
            <w:pPr>
              <w:rPr>
                <w:rFonts w:eastAsia="Arial" w:cs="Arial"/>
                <w:sz w:val="19"/>
                <w:szCs w:val="19"/>
              </w:rPr>
            </w:pPr>
            <w:r>
              <w:rPr>
                <w:rFonts w:eastAsia="Arial" w:cs="Arial"/>
                <w:sz w:val="19"/>
                <w:szCs w:val="19"/>
              </w:rPr>
              <w:t>Mining / Extraction</w:t>
            </w:r>
          </w:p>
          <w:p w14:paraId="2453C8C7" w14:textId="77777777" w:rsidR="00CE4BC9" w:rsidRDefault="00CE4BC9" w:rsidP="00EC2858">
            <w:pPr>
              <w:rPr>
                <w:rFonts w:eastAsia="Arial" w:cs="Arial"/>
                <w:sz w:val="19"/>
                <w:szCs w:val="19"/>
              </w:rPr>
            </w:pPr>
            <w:r>
              <w:rPr>
                <w:rFonts w:eastAsia="Arial" w:cs="Arial"/>
                <w:sz w:val="19"/>
                <w:szCs w:val="19"/>
              </w:rPr>
              <w:t>Power Production</w:t>
            </w:r>
          </w:p>
          <w:p w14:paraId="24867255" w14:textId="6B20FBAB" w:rsidR="00CE4BC9" w:rsidRDefault="00CE4BC9" w:rsidP="00EC2858">
            <w:pPr>
              <w:rPr>
                <w:rFonts w:eastAsia="Arial" w:cs="Arial"/>
                <w:sz w:val="19"/>
                <w:szCs w:val="19"/>
              </w:rPr>
            </w:pPr>
          </w:p>
        </w:tc>
        <w:tc>
          <w:tcPr>
            <w:tcW w:w="1701" w:type="dxa"/>
          </w:tcPr>
          <w:p w14:paraId="06249B65" w14:textId="2A775B27" w:rsidR="00CE4BC9" w:rsidRDefault="00E17547" w:rsidP="00CE4BC9">
            <w:pPr>
              <w:rPr>
                <w:rFonts w:eastAsia="Arial" w:cs="Arial"/>
                <w:sz w:val="19"/>
                <w:szCs w:val="19"/>
              </w:rPr>
            </w:pPr>
            <w:r>
              <w:rPr>
                <w:rFonts w:eastAsia="Arial" w:cs="Arial"/>
                <w:sz w:val="19"/>
                <w:szCs w:val="19"/>
              </w:rPr>
              <w:t>5</w:t>
            </w:r>
            <w:r w:rsidR="00CE4BC9">
              <w:rPr>
                <w:rFonts w:eastAsia="Arial" w:cs="Arial"/>
                <w:sz w:val="19"/>
                <w:szCs w:val="19"/>
              </w:rPr>
              <w:t>%</w:t>
            </w:r>
          </w:p>
          <w:p w14:paraId="54DCF854" w14:textId="102F522A" w:rsidR="00CE4BC9" w:rsidRDefault="00CD68A9" w:rsidP="00CE4BC9">
            <w:pPr>
              <w:rPr>
                <w:rFonts w:eastAsia="Arial" w:cs="Arial"/>
                <w:sz w:val="19"/>
                <w:szCs w:val="19"/>
              </w:rPr>
            </w:pPr>
            <w:r>
              <w:rPr>
                <w:rFonts w:eastAsia="Arial" w:cs="Arial"/>
                <w:sz w:val="19"/>
                <w:szCs w:val="19"/>
              </w:rPr>
              <w:t>20</w:t>
            </w:r>
          </w:p>
        </w:tc>
      </w:tr>
      <w:tr w:rsidR="00CE4BC9" w14:paraId="16B7E8C8" w14:textId="77777777" w:rsidTr="00EC2858">
        <w:tc>
          <w:tcPr>
            <w:tcW w:w="3681" w:type="dxa"/>
          </w:tcPr>
          <w:p w14:paraId="49B10DCB" w14:textId="1B71CD75" w:rsidR="00CE4BC9" w:rsidRDefault="00CE4BC9" w:rsidP="00801B19">
            <w:pPr>
              <w:spacing w:after="260"/>
              <w:rPr>
                <w:rFonts w:eastAsia="Arial" w:cs="Arial"/>
                <w:sz w:val="19"/>
                <w:szCs w:val="19"/>
              </w:rPr>
            </w:pPr>
            <w:r>
              <w:rPr>
                <w:rFonts w:eastAsia="Arial" w:cs="Arial"/>
                <w:sz w:val="19"/>
                <w:szCs w:val="19"/>
              </w:rPr>
              <w:t>Oil</w:t>
            </w:r>
          </w:p>
        </w:tc>
        <w:tc>
          <w:tcPr>
            <w:tcW w:w="2976" w:type="dxa"/>
          </w:tcPr>
          <w:p w14:paraId="654B87E3" w14:textId="77777777" w:rsidR="00CE4BC9" w:rsidRDefault="00CE4BC9" w:rsidP="00EC2858">
            <w:pPr>
              <w:rPr>
                <w:rFonts w:eastAsia="Arial" w:cs="Arial"/>
                <w:sz w:val="19"/>
                <w:szCs w:val="19"/>
              </w:rPr>
            </w:pPr>
            <w:r>
              <w:rPr>
                <w:rFonts w:eastAsia="Arial" w:cs="Arial"/>
                <w:sz w:val="19"/>
                <w:szCs w:val="19"/>
              </w:rPr>
              <w:t>Extraction</w:t>
            </w:r>
          </w:p>
          <w:p w14:paraId="070B71FC" w14:textId="77777777" w:rsidR="00CE4BC9" w:rsidRDefault="00CE4BC9" w:rsidP="00EC2858">
            <w:pPr>
              <w:rPr>
                <w:rFonts w:eastAsia="Arial" w:cs="Arial"/>
                <w:sz w:val="19"/>
                <w:szCs w:val="19"/>
              </w:rPr>
            </w:pPr>
            <w:r>
              <w:rPr>
                <w:rFonts w:eastAsia="Arial" w:cs="Arial"/>
                <w:sz w:val="19"/>
                <w:szCs w:val="19"/>
              </w:rPr>
              <w:t>Production / Refining</w:t>
            </w:r>
          </w:p>
          <w:p w14:paraId="286B0D93" w14:textId="74C91F3D" w:rsidR="00CE4BC9" w:rsidRDefault="00CE4BC9" w:rsidP="00EC2858">
            <w:pPr>
              <w:rPr>
                <w:rFonts w:eastAsia="Arial" w:cs="Arial"/>
                <w:sz w:val="19"/>
                <w:szCs w:val="19"/>
              </w:rPr>
            </w:pPr>
          </w:p>
        </w:tc>
        <w:tc>
          <w:tcPr>
            <w:tcW w:w="1701" w:type="dxa"/>
          </w:tcPr>
          <w:p w14:paraId="12494981" w14:textId="480A3353" w:rsidR="00CE4BC9" w:rsidRDefault="00EE2275" w:rsidP="00CE4BC9">
            <w:pPr>
              <w:rPr>
                <w:rFonts w:eastAsia="Arial" w:cs="Arial"/>
                <w:sz w:val="19"/>
                <w:szCs w:val="19"/>
              </w:rPr>
            </w:pPr>
            <w:r>
              <w:rPr>
                <w:rFonts w:eastAsia="Arial" w:cs="Arial"/>
                <w:sz w:val="19"/>
                <w:szCs w:val="19"/>
              </w:rPr>
              <w:t>10</w:t>
            </w:r>
            <w:r w:rsidR="00CE4BC9">
              <w:rPr>
                <w:rFonts w:eastAsia="Arial" w:cs="Arial"/>
                <w:sz w:val="19"/>
                <w:szCs w:val="19"/>
              </w:rPr>
              <w:t>%</w:t>
            </w:r>
          </w:p>
          <w:p w14:paraId="2DF4784D" w14:textId="74359E63" w:rsidR="00CE4BC9" w:rsidRDefault="00EE2275" w:rsidP="00CE4BC9">
            <w:pPr>
              <w:rPr>
                <w:rFonts w:eastAsia="Arial" w:cs="Arial"/>
                <w:sz w:val="19"/>
                <w:szCs w:val="19"/>
              </w:rPr>
            </w:pPr>
            <w:r>
              <w:rPr>
                <w:rFonts w:eastAsia="Arial" w:cs="Arial"/>
                <w:sz w:val="19"/>
                <w:szCs w:val="19"/>
              </w:rPr>
              <w:t>10</w:t>
            </w:r>
          </w:p>
        </w:tc>
      </w:tr>
      <w:tr w:rsidR="00392D43" w14:paraId="4BE8578A" w14:textId="77777777" w:rsidTr="00EC2858">
        <w:tc>
          <w:tcPr>
            <w:tcW w:w="3681" w:type="dxa"/>
          </w:tcPr>
          <w:p w14:paraId="2114DE37" w14:textId="77777777" w:rsidR="00392D43" w:rsidRDefault="00392D43" w:rsidP="00801B19">
            <w:pPr>
              <w:spacing w:after="260"/>
              <w:rPr>
                <w:rFonts w:eastAsia="Arial" w:cs="Arial"/>
                <w:sz w:val="19"/>
                <w:szCs w:val="19"/>
              </w:rPr>
            </w:pPr>
            <w:r>
              <w:rPr>
                <w:rFonts w:eastAsia="Arial" w:cs="Arial"/>
                <w:sz w:val="19"/>
                <w:szCs w:val="19"/>
              </w:rPr>
              <w:t>Tobacco</w:t>
            </w:r>
          </w:p>
        </w:tc>
        <w:tc>
          <w:tcPr>
            <w:tcW w:w="2976" w:type="dxa"/>
          </w:tcPr>
          <w:p w14:paraId="61FF8148" w14:textId="77777777" w:rsidR="00392D43" w:rsidRDefault="00392D43" w:rsidP="00EC2858">
            <w:pPr>
              <w:rPr>
                <w:rFonts w:eastAsia="Arial" w:cs="Arial"/>
                <w:sz w:val="19"/>
                <w:szCs w:val="19"/>
              </w:rPr>
            </w:pPr>
            <w:r>
              <w:rPr>
                <w:rFonts w:eastAsia="Arial" w:cs="Arial"/>
                <w:sz w:val="19"/>
                <w:szCs w:val="19"/>
              </w:rPr>
              <w:t>Production</w:t>
            </w:r>
          </w:p>
          <w:p w14:paraId="67650CBB" w14:textId="77777777" w:rsidR="00081089" w:rsidRDefault="00081089" w:rsidP="005617C2">
            <w:pPr>
              <w:rPr>
                <w:rFonts w:eastAsia="Arial" w:cs="Arial"/>
                <w:sz w:val="19"/>
                <w:szCs w:val="19"/>
              </w:rPr>
            </w:pPr>
            <w:r>
              <w:rPr>
                <w:rFonts w:eastAsia="Arial" w:cs="Arial"/>
                <w:sz w:val="19"/>
                <w:szCs w:val="19"/>
              </w:rPr>
              <w:t>Related Products and Services</w:t>
            </w:r>
          </w:p>
          <w:p w14:paraId="4BDD0669" w14:textId="0F6FA440" w:rsidR="00A155FB" w:rsidRDefault="00A155FB" w:rsidP="005617C2">
            <w:pPr>
              <w:rPr>
                <w:rFonts w:eastAsia="Arial" w:cs="Arial"/>
                <w:sz w:val="19"/>
                <w:szCs w:val="19"/>
              </w:rPr>
            </w:pPr>
            <w:r>
              <w:rPr>
                <w:rFonts w:eastAsia="Arial" w:cs="Arial"/>
                <w:sz w:val="19"/>
                <w:szCs w:val="19"/>
              </w:rPr>
              <w:t>Sale/Distribution</w:t>
            </w:r>
          </w:p>
          <w:p w14:paraId="389DA1DF" w14:textId="75194339" w:rsidR="005617C2" w:rsidRDefault="005617C2" w:rsidP="00EC2858">
            <w:pPr>
              <w:rPr>
                <w:rFonts w:eastAsia="Arial" w:cs="Arial"/>
                <w:sz w:val="19"/>
                <w:szCs w:val="19"/>
              </w:rPr>
            </w:pPr>
          </w:p>
        </w:tc>
        <w:tc>
          <w:tcPr>
            <w:tcW w:w="1701" w:type="dxa"/>
          </w:tcPr>
          <w:p w14:paraId="4B9E9FEB" w14:textId="18E28921" w:rsidR="00392D43" w:rsidRDefault="00EE2275" w:rsidP="00FD1FD5">
            <w:pPr>
              <w:rPr>
                <w:rFonts w:eastAsia="Arial" w:cs="Arial"/>
                <w:sz w:val="19"/>
                <w:szCs w:val="19"/>
              </w:rPr>
            </w:pPr>
            <w:r>
              <w:rPr>
                <w:rFonts w:eastAsia="Arial" w:cs="Arial"/>
                <w:sz w:val="19"/>
                <w:szCs w:val="19"/>
              </w:rPr>
              <w:t>0</w:t>
            </w:r>
            <w:r w:rsidR="00FD1FD5">
              <w:rPr>
                <w:rFonts w:eastAsia="Arial" w:cs="Arial"/>
                <w:sz w:val="19"/>
                <w:szCs w:val="19"/>
              </w:rPr>
              <w:t>%</w:t>
            </w:r>
          </w:p>
          <w:p w14:paraId="7611C5E2" w14:textId="0ABD3D3A" w:rsidR="00FD1FD5" w:rsidRDefault="00EE2275" w:rsidP="00FD1FD5">
            <w:pPr>
              <w:rPr>
                <w:rFonts w:eastAsia="Arial" w:cs="Arial"/>
                <w:sz w:val="19"/>
                <w:szCs w:val="19"/>
              </w:rPr>
            </w:pPr>
            <w:r>
              <w:rPr>
                <w:rFonts w:eastAsia="Arial" w:cs="Arial"/>
                <w:sz w:val="19"/>
                <w:szCs w:val="19"/>
              </w:rPr>
              <w:t>5</w:t>
            </w:r>
            <w:r w:rsidR="00FD1FD5">
              <w:rPr>
                <w:rFonts w:eastAsia="Arial" w:cs="Arial"/>
                <w:sz w:val="19"/>
                <w:szCs w:val="19"/>
              </w:rPr>
              <w:t>%</w:t>
            </w:r>
          </w:p>
          <w:p w14:paraId="22E1785F" w14:textId="26EDC577" w:rsidR="00FD1FD5" w:rsidRDefault="00CD68A9" w:rsidP="00FD1FD5">
            <w:pPr>
              <w:rPr>
                <w:rFonts w:eastAsia="Arial" w:cs="Arial"/>
                <w:sz w:val="19"/>
                <w:szCs w:val="19"/>
              </w:rPr>
            </w:pPr>
            <w:r>
              <w:rPr>
                <w:rFonts w:eastAsia="Arial" w:cs="Arial"/>
                <w:sz w:val="19"/>
                <w:szCs w:val="19"/>
              </w:rPr>
              <w:t>5</w:t>
            </w:r>
            <w:r w:rsidR="00FD1FD5">
              <w:rPr>
                <w:rFonts w:eastAsia="Arial" w:cs="Arial"/>
                <w:sz w:val="19"/>
                <w:szCs w:val="19"/>
              </w:rPr>
              <w:t>%</w:t>
            </w:r>
          </w:p>
          <w:p w14:paraId="1257C334" w14:textId="1659F5A5" w:rsidR="00FD1FD5" w:rsidRDefault="00FD1FD5" w:rsidP="00FD1FD5">
            <w:pPr>
              <w:rPr>
                <w:rFonts w:eastAsia="Arial" w:cs="Arial"/>
                <w:sz w:val="19"/>
                <w:szCs w:val="19"/>
              </w:rPr>
            </w:pPr>
          </w:p>
        </w:tc>
      </w:tr>
      <w:tr w:rsidR="00081089" w14:paraId="3ABF2B5B" w14:textId="77777777" w:rsidTr="00EC2858">
        <w:tc>
          <w:tcPr>
            <w:tcW w:w="3681" w:type="dxa"/>
          </w:tcPr>
          <w:p w14:paraId="19B1E836" w14:textId="4E10942B" w:rsidR="00081089" w:rsidRDefault="00081089" w:rsidP="00801B19">
            <w:pPr>
              <w:spacing w:after="260"/>
              <w:rPr>
                <w:rFonts w:eastAsia="Arial" w:cs="Arial"/>
                <w:sz w:val="19"/>
                <w:szCs w:val="19"/>
              </w:rPr>
            </w:pPr>
            <w:r>
              <w:rPr>
                <w:rFonts w:eastAsia="Arial" w:cs="Arial"/>
                <w:sz w:val="19"/>
                <w:szCs w:val="19"/>
              </w:rPr>
              <w:t xml:space="preserve">Civilian Firearms </w:t>
            </w:r>
          </w:p>
        </w:tc>
        <w:tc>
          <w:tcPr>
            <w:tcW w:w="2976" w:type="dxa"/>
          </w:tcPr>
          <w:p w14:paraId="6EDCE121" w14:textId="77777777" w:rsidR="00081089" w:rsidRDefault="00081089" w:rsidP="00EC2858">
            <w:pPr>
              <w:rPr>
                <w:rFonts w:eastAsia="Arial" w:cs="Arial"/>
                <w:sz w:val="19"/>
                <w:szCs w:val="19"/>
              </w:rPr>
            </w:pPr>
            <w:r>
              <w:rPr>
                <w:rFonts w:eastAsia="Arial" w:cs="Arial"/>
                <w:sz w:val="19"/>
                <w:szCs w:val="19"/>
              </w:rPr>
              <w:t>Production</w:t>
            </w:r>
          </w:p>
          <w:p w14:paraId="62464033" w14:textId="5732702B" w:rsidR="00A155FB" w:rsidRDefault="00A155FB" w:rsidP="000D7255">
            <w:pPr>
              <w:rPr>
                <w:rFonts w:eastAsia="Arial" w:cs="Arial"/>
                <w:sz w:val="19"/>
                <w:szCs w:val="19"/>
              </w:rPr>
            </w:pPr>
            <w:r>
              <w:rPr>
                <w:rFonts w:eastAsia="Arial" w:cs="Arial"/>
                <w:sz w:val="19"/>
                <w:szCs w:val="19"/>
              </w:rPr>
              <w:t>Sale / Distribution</w:t>
            </w:r>
          </w:p>
          <w:p w14:paraId="59262E11" w14:textId="3615FFC2" w:rsidR="000D7255" w:rsidRDefault="000D7255" w:rsidP="00EC2858">
            <w:pPr>
              <w:rPr>
                <w:rFonts w:eastAsia="Arial" w:cs="Arial"/>
                <w:sz w:val="19"/>
                <w:szCs w:val="19"/>
              </w:rPr>
            </w:pPr>
          </w:p>
        </w:tc>
        <w:tc>
          <w:tcPr>
            <w:tcW w:w="1701" w:type="dxa"/>
          </w:tcPr>
          <w:p w14:paraId="3ED3A55C" w14:textId="7632C7E8" w:rsidR="00FD1FD5" w:rsidRDefault="00EE2275" w:rsidP="00FD1FD5">
            <w:pPr>
              <w:rPr>
                <w:rFonts w:eastAsia="Arial" w:cs="Arial"/>
                <w:sz w:val="19"/>
                <w:szCs w:val="19"/>
              </w:rPr>
            </w:pPr>
            <w:r>
              <w:rPr>
                <w:rFonts w:eastAsia="Arial" w:cs="Arial"/>
                <w:sz w:val="19"/>
                <w:szCs w:val="19"/>
              </w:rPr>
              <w:t>0</w:t>
            </w:r>
            <w:r w:rsidR="00FD1FD5">
              <w:rPr>
                <w:rFonts w:eastAsia="Arial" w:cs="Arial"/>
                <w:sz w:val="19"/>
                <w:szCs w:val="19"/>
              </w:rPr>
              <w:t>%</w:t>
            </w:r>
          </w:p>
          <w:p w14:paraId="587B93E3" w14:textId="53C98CFE" w:rsidR="00FD1FD5" w:rsidRDefault="00EE2275" w:rsidP="00FD1FD5">
            <w:pPr>
              <w:rPr>
                <w:rFonts w:eastAsia="Arial" w:cs="Arial"/>
                <w:sz w:val="19"/>
                <w:szCs w:val="19"/>
              </w:rPr>
            </w:pPr>
            <w:r>
              <w:rPr>
                <w:rFonts w:eastAsia="Arial" w:cs="Arial"/>
                <w:sz w:val="19"/>
                <w:szCs w:val="19"/>
              </w:rPr>
              <w:t>5</w:t>
            </w:r>
            <w:r w:rsidR="00FD1FD5">
              <w:rPr>
                <w:rFonts w:eastAsia="Arial" w:cs="Arial"/>
                <w:sz w:val="19"/>
                <w:szCs w:val="19"/>
              </w:rPr>
              <w:t>%</w:t>
            </w:r>
          </w:p>
          <w:p w14:paraId="28C222D6" w14:textId="77777777" w:rsidR="00081089" w:rsidRDefault="00081089" w:rsidP="00FD1FD5">
            <w:pPr>
              <w:rPr>
                <w:rFonts w:eastAsia="Arial" w:cs="Arial"/>
                <w:sz w:val="19"/>
                <w:szCs w:val="19"/>
              </w:rPr>
            </w:pPr>
          </w:p>
        </w:tc>
      </w:tr>
      <w:tr w:rsidR="00081089" w14:paraId="4503E559" w14:textId="77777777" w:rsidTr="00EC2858">
        <w:tc>
          <w:tcPr>
            <w:tcW w:w="3681" w:type="dxa"/>
          </w:tcPr>
          <w:p w14:paraId="75AD4B3A" w14:textId="65D32D5B" w:rsidR="00081089" w:rsidRDefault="00081089" w:rsidP="00801B19">
            <w:pPr>
              <w:spacing w:after="260"/>
              <w:rPr>
                <w:rFonts w:eastAsia="Arial" w:cs="Arial"/>
                <w:sz w:val="19"/>
                <w:szCs w:val="19"/>
              </w:rPr>
            </w:pPr>
            <w:r>
              <w:rPr>
                <w:rFonts w:eastAsia="Arial" w:cs="Arial"/>
                <w:sz w:val="19"/>
                <w:szCs w:val="19"/>
              </w:rPr>
              <w:lastRenderedPageBreak/>
              <w:t xml:space="preserve">Gambling </w:t>
            </w:r>
          </w:p>
        </w:tc>
        <w:tc>
          <w:tcPr>
            <w:tcW w:w="2976" w:type="dxa"/>
          </w:tcPr>
          <w:p w14:paraId="142BE9C2" w14:textId="1B33BDF8" w:rsidR="00081089" w:rsidRDefault="00081089" w:rsidP="00801B19">
            <w:pPr>
              <w:spacing w:after="260"/>
              <w:rPr>
                <w:rFonts w:eastAsia="Arial" w:cs="Arial"/>
                <w:sz w:val="19"/>
                <w:szCs w:val="19"/>
              </w:rPr>
            </w:pPr>
            <w:r>
              <w:rPr>
                <w:rFonts w:eastAsia="Arial" w:cs="Arial"/>
                <w:sz w:val="19"/>
                <w:szCs w:val="19"/>
              </w:rPr>
              <w:t xml:space="preserve">Offer of </w:t>
            </w:r>
            <w:r w:rsidR="00866F5D">
              <w:rPr>
                <w:rFonts w:eastAsia="Arial" w:cs="Arial"/>
                <w:sz w:val="19"/>
                <w:szCs w:val="19"/>
              </w:rPr>
              <w:t>Gambling</w:t>
            </w:r>
            <w:r>
              <w:rPr>
                <w:rFonts w:eastAsia="Arial" w:cs="Arial"/>
                <w:sz w:val="19"/>
                <w:szCs w:val="19"/>
              </w:rPr>
              <w:t xml:space="preserve"> Services</w:t>
            </w:r>
          </w:p>
        </w:tc>
        <w:tc>
          <w:tcPr>
            <w:tcW w:w="1701" w:type="dxa"/>
          </w:tcPr>
          <w:p w14:paraId="17E540A9" w14:textId="133EBC04" w:rsidR="00FD1FD5" w:rsidRDefault="00C80922" w:rsidP="00FD1FD5">
            <w:pPr>
              <w:rPr>
                <w:rFonts w:eastAsia="Arial" w:cs="Arial"/>
                <w:sz w:val="19"/>
                <w:szCs w:val="19"/>
              </w:rPr>
            </w:pPr>
            <w:r>
              <w:rPr>
                <w:rFonts w:eastAsia="Arial" w:cs="Arial"/>
                <w:sz w:val="19"/>
                <w:szCs w:val="19"/>
              </w:rPr>
              <w:t>5</w:t>
            </w:r>
            <w:r w:rsidR="00FD1FD5">
              <w:rPr>
                <w:rFonts w:eastAsia="Arial" w:cs="Arial"/>
                <w:sz w:val="19"/>
                <w:szCs w:val="19"/>
              </w:rPr>
              <w:t>%</w:t>
            </w:r>
          </w:p>
          <w:p w14:paraId="73B36A5A" w14:textId="77777777" w:rsidR="00081089" w:rsidRDefault="00081089" w:rsidP="00FD1FD5">
            <w:pPr>
              <w:rPr>
                <w:rFonts w:eastAsia="Arial" w:cs="Arial"/>
                <w:sz w:val="19"/>
                <w:szCs w:val="19"/>
              </w:rPr>
            </w:pPr>
          </w:p>
        </w:tc>
      </w:tr>
      <w:tr w:rsidR="00392D43" w14:paraId="7D975E23" w14:textId="77777777" w:rsidTr="00EC2858">
        <w:tc>
          <w:tcPr>
            <w:tcW w:w="3681" w:type="dxa"/>
          </w:tcPr>
          <w:p w14:paraId="2B732512" w14:textId="031E64FA" w:rsidR="00392D43" w:rsidRDefault="00852503" w:rsidP="00801B19">
            <w:pPr>
              <w:spacing w:after="260"/>
              <w:rPr>
                <w:rFonts w:eastAsia="Arial" w:cs="Arial"/>
                <w:sz w:val="19"/>
                <w:szCs w:val="19"/>
              </w:rPr>
            </w:pPr>
            <w:r>
              <w:rPr>
                <w:rFonts w:eastAsia="Arial" w:cs="Arial"/>
                <w:sz w:val="19"/>
                <w:szCs w:val="19"/>
              </w:rPr>
              <w:t>Alcohol</w:t>
            </w:r>
          </w:p>
        </w:tc>
        <w:tc>
          <w:tcPr>
            <w:tcW w:w="2976" w:type="dxa"/>
          </w:tcPr>
          <w:p w14:paraId="25762218" w14:textId="77777777" w:rsidR="00392D43" w:rsidRDefault="00852503" w:rsidP="00801B19">
            <w:pPr>
              <w:rPr>
                <w:rFonts w:eastAsia="Arial" w:cs="Arial"/>
                <w:sz w:val="19"/>
                <w:szCs w:val="19"/>
              </w:rPr>
            </w:pPr>
            <w:r>
              <w:rPr>
                <w:rFonts w:eastAsia="Arial" w:cs="Arial"/>
                <w:sz w:val="19"/>
                <w:szCs w:val="19"/>
              </w:rPr>
              <w:t xml:space="preserve">Production </w:t>
            </w:r>
          </w:p>
          <w:p w14:paraId="43CA08C5" w14:textId="43463779" w:rsidR="00852503" w:rsidRDefault="00852503" w:rsidP="00801B19">
            <w:pPr>
              <w:rPr>
                <w:rFonts w:eastAsia="Arial" w:cs="Arial"/>
                <w:sz w:val="19"/>
                <w:szCs w:val="19"/>
              </w:rPr>
            </w:pPr>
            <w:r>
              <w:rPr>
                <w:rFonts w:eastAsia="Arial" w:cs="Arial"/>
                <w:sz w:val="19"/>
                <w:szCs w:val="19"/>
              </w:rPr>
              <w:t>Sale / Distribution</w:t>
            </w:r>
          </w:p>
          <w:p w14:paraId="7E533836" w14:textId="5FBA2D33" w:rsidR="00852503" w:rsidRDefault="00852503" w:rsidP="00801B19">
            <w:pPr>
              <w:rPr>
                <w:rFonts w:eastAsia="Arial" w:cs="Arial"/>
                <w:sz w:val="19"/>
                <w:szCs w:val="19"/>
              </w:rPr>
            </w:pPr>
          </w:p>
        </w:tc>
        <w:tc>
          <w:tcPr>
            <w:tcW w:w="1701" w:type="dxa"/>
          </w:tcPr>
          <w:p w14:paraId="50EE5B06" w14:textId="3D15E01F" w:rsidR="00FD1FD5" w:rsidRDefault="00EE2275" w:rsidP="00FD1FD5">
            <w:pPr>
              <w:rPr>
                <w:rFonts w:eastAsia="Arial" w:cs="Arial"/>
                <w:sz w:val="19"/>
                <w:szCs w:val="19"/>
              </w:rPr>
            </w:pPr>
            <w:r>
              <w:rPr>
                <w:rFonts w:eastAsia="Arial" w:cs="Arial"/>
                <w:sz w:val="19"/>
                <w:szCs w:val="19"/>
              </w:rPr>
              <w:t>15</w:t>
            </w:r>
            <w:r w:rsidR="00FD1FD5">
              <w:rPr>
                <w:rFonts w:eastAsia="Arial" w:cs="Arial"/>
                <w:sz w:val="19"/>
                <w:szCs w:val="19"/>
              </w:rPr>
              <w:t>%</w:t>
            </w:r>
          </w:p>
          <w:p w14:paraId="6326E7E5" w14:textId="05021CC2" w:rsidR="00FD1FD5" w:rsidRDefault="00EE2275" w:rsidP="00FD1FD5">
            <w:pPr>
              <w:rPr>
                <w:rFonts w:eastAsia="Arial" w:cs="Arial"/>
                <w:sz w:val="19"/>
                <w:szCs w:val="19"/>
              </w:rPr>
            </w:pPr>
            <w:r>
              <w:rPr>
                <w:rFonts w:eastAsia="Arial" w:cs="Arial"/>
                <w:sz w:val="19"/>
                <w:szCs w:val="19"/>
              </w:rPr>
              <w:t>15</w:t>
            </w:r>
            <w:r w:rsidR="00FD1FD5">
              <w:rPr>
                <w:rFonts w:eastAsia="Arial" w:cs="Arial"/>
                <w:sz w:val="19"/>
                <w:szCs w:val="19"/>
              </w:rPr>
              <w:t>%</w:t>
            </w:r>
          </w:p>
          <w:p w14:paraId="75B360D9" w14:textId="63A1155F" w:rsidR="00392D43" w:rsidRDefault="00392D43" w:rsidP="00801B19">
            <w:pPr>
              <w:rPr>
                <w:rFonts w:eastAsia="Arial" w:cs="Arial"/>
                <w:sz w:val="19"/>
                <w:szCs w:val="19"/>
              </w:rPr>
            </w:pPr>
          </w:p>
        </w:tc>
      </w:tr>
      <w:tr w:rsidR="00392D43" w14:paraId="2EF25932" w14:textId="77777777" w:rsidTr="00EC2858">
        <w:tc>
          <w:tcPr>
            <w:tcW w:w="3681" w:type="dxa"/>
          </w:tcPr>
          <w:p w14:paraId="330367EA" w14:textId="78441205" w:rsidR="00392D43" w:rsidRDefault="00866F5D" w:rsidP="00801B19">
            <w:pPr>
              <w:spacing w:after="260"/>
              <w:rPr>
                <w:rFonts w:eastAsia="Arial" w:cs="Arial"/>
                <w:sz w:val="19"/>
                <w:szCs w:val="19"/>
              </w:rPr>
            </w:pPr>
            <w:r>
              <w:rPr>
                <w:rFonts w:eastAsia="Arial" w:cs="Arial"/>
                <w:sz w:val="19"/>
                <w:szCs w:val="19"/>
              </w:rPr>
              <w:t>Cannabis</w:t>
            </w:r>
            <w:r w:rsidR="00852503">
              <w:rPr>
                <w:rFonts w:eastAsia="Arial" w:cs="Arial"/>
                <w:sz w:val="19"/>
                <w:szCs w:val="19"/>
              </w:rPr>
              <w:t xml:space="preserve"> </w:t>
            </w:r>
          </w:p>
        </w:tc>
        <w:tc>
          <w:tcPr>
            <w:tcW w:w="2976" w:type="dxa"/>
          </w:tcPr>
          <w:p w14:paraId="3CA1B392" w14:textId="77777777" w:rsidR="00392D43" w:rsidRDefault="00852503" w:rsidP="00801B19">
            <w:pPr>
              <w:rPr>
                <w:rFonts w:eastAsia="Arial" w:cs="Arial"/>
                <w:sz w:val="19"/>
                <w:szCs w:val="19"/>
              </w:rPr>
            </w:pPr>
            <w:r>
              <w:rPr>
                <w:rFonts w:eastAsia="Arial" w:cs="Arial"/>
                <w:sz w:val="19"/>
                <w:szCs w:val="19"/>
              </w:rPr>
              <w:t>Production</w:t>
            </w:r>
          </w:p>
          <w:p w14:paraId="1F256285" w14:textId="561AF89D" w:rsidR="00852503" w:rsidRDefault="00852503" w:rsidP="00801B19">
            <w:pPr>
              <w:rPr>
                <w:rFonts w:eastAsia="Arial" w:cs="Arial"/>
                <w:sz w:val="19"/>
                <w:szCs w:val="19"/>
              </w:rPr>
            </w:pPr>
            <w:r>
              <w:rPr>
                <w:rFonts w:eastAsia="Arial" w:cs="Arial"/>
                <w:sz w:val="19"/>
                <w:szCs w:val="19"/>
              </w:rPr>
              <w:t>Sale / Distribution</w:t>
            </w:r>
          </w:p>
          <w:p w14:paraId="0258B3E3" w14:textId="35397539" w:rsidR="00852503" w:rsidRDefault="00852503" w:rsidP="00801B19">
            <w:pPr>
              <w:rPr>
                <w:rFonts w:eastAsia="Arial" w:cs="Arial"/>
                <w:sz w:val="19"/>
                <w:szCs w:val="19"/>
              </w:rPr>
            </w:pPr>
          </w:p>
        </w:tc>
        <w:tc>
          <w:tcPr>
            <w:tcW w:w="1701" w:type="dxa"/>
          </w:tcPr>
          <w:p w14:paraId="669B198D" w14:textId="2E3C4E43" w:rsidR="00FD1FD5" w:rsidRDefault="00EE2275" w:rsidP="00FD1FD5">
            <w:pPr>
              <w:rPr>
                <w:rFonts w:eastAsia="Arial" w:cs="Arial"/>
                <w:sz w:val="19"/>
                <w:szCs w:val="19"/>
              </w:rPr>
            </w:pPr>
            <w:r>
              <w:rPr>
                <w:rFonts w:eastAsia="Arial" w:cs="Arial"/>
                <w:sz w:val="19"/>
                <w:szCs w:val="19"/>
              </w:rPr>
              <w:t>0</w:t>
            </w:r>
            <w:r w:rsidR="00FD1FD5">
              <w:rPr>
                <w:rFonts w:eastAsia="Arial" w:cs="Arial"/>
                <w:sz w:val="19"/>
                <w:szCs w:val="19"/>
              </w:rPr>
              <w:t>%</w:t>
            </w:r>
          </w:p>
          <w:p w14:paraId="67301C7F" w14:textId="2AD7A75C" w:rsidR="00FD1FD5" w:rsidRDefault="00EE2275" w:rsidP="00FD1FD5">
            <w:pPr>
              <w:rPr>
                <w:rFonts w:eastAsia="Arial" w:cs="Arial"/>
                <w:sz w:val="19"/>
                <w:szCs w:val="19"/>
              </w:rPr>
            </w:pPr>
            <w:r>
              <w:rPr>
                <w:rFonts w:eastAsia="Arial" w:cs="Arial"/>
                <w:sz w:val="19"/>
                <w:szCs w:val="19"/>
              </w:rPr>
              <w:t>5</w:t>
            </w:r>
            <w:r w:rsidR="00FD1FD5">
              <w:rPr>
                <w:rFonts w:eastAsia="Arial" w:cs="Arial"/>
                <w:sz w:val="19"/>
                <w:szCs w:val="19"/>
              </w:rPr>
              <w:t>%</w:t>
            </w:r>
          </w:p>
          <w:p w14:paraId="4B023685" w14:textId="2D16BC24" w:rsidR="00392D43" w:rsidRDefault="00392D43" w:rsidP="00801B19">
            <w:pPr>
              <w:rPr>
                <w:rFonts w:eastAsia="Arial" w:cs="Arial"/>
                <w:sz w:val="19"/>
                <w:szCs w:val="19"/>
              </w:rPr>
            </w:pPr>
          </w:p>
        </w:tc>
      </w:tr>
      <w:tr w:rsidR="00392D43" w14:paraId="19A24285" w14:textId="77777777" w:rsidTr="00EC2858">
        <w:tc>
          <w:tcPr>
            <w:tcW w:w="3681" w:type="dxa"/>
          </w:tcPr>
          <w:p w14:paraId="22549494" w14:textId="204190F3" w:rsidR="00A155FB" w:rsidRDefault="00A155FB" w:rsidP="00801B19">
            <w:pPr>
              <w:spacing w:after="260"/>
              <w:rPr>
                <w:rFonts w:eastAsia="Arial" w:cs="Arial"/>
                <w:sz w:val="19"/>
                <w:szCs w:val="19"/>
              </w:rPr>
            </w:pPr>
            <w:r>
              <w:rPr>
                <w:rFonts w:eastAsia="Arial" w:cs="Arial"/>
                <w:sz w:val="19"/>
                <w:szCs w:val="19"/>
              </w:rPr>
              <w:t xml:space="preserve">Controversial </w:t>
            </w:r>
            <w:r w:rsidR="00852503">
              <w:rPr>
                <w:rFonts w:eastAsia="Arial" w:cs="Arial"/>
                <w:sz w:val="19"/>
                <w:szCs w:val="19"/>
              </w:rPr>
              <w:t>Weapons</w:t>
            </w:r>
          </w:p>
        </w:tc>
        <w:tc>
          <w:tcPr>
            <w:tcW w:w="2976" w:type="dxa"/>
          </w:tcPr>
          <w:p w14:paraId="79760718" w14:textId="77777777" w:rsidR="00392D43" w:rsidRDefault="00852503" w:rsidP="00801B19">
            <w:pPr>
              <w:rPr>
                <w:rFonts w:eastAsia="Arial" w:cs="Arial"/>
                <w:sz w:val="19"/>
                <w:szCs w:val="19"/>
              </w:rPr>
            </w:pPr>
            <w:r>
              <w:rPr>
                <w:rFonts w:eastAsia="Arial" w:cs="Arial"/>
                <w:sz w:val="19"/>
                <w:szCs w:val="19"/>
              </w:rPr>
              <w:t>Production</w:t>
            </w:r>
          </w:p>
          <w:p w14:paraId="04FC9076" w14:textId="2E0A242F" w:rsidR="00A155FB" w:rsidRDefault="00A155FB" w:rsidP="00801B19">
            <w:pPr>
              <w:rPr>
                <w:rFonts w:eastAsia="Arial" w:cs="Arial"/>
                <w:sz w:val="19"/>
                <w:szCs w:val="19"/>
              </w:rPr>
            </w:pPr>
            <w:r>
              <w:rPr>
                <w:rFonts w:eastAsia="Arial" w:cs="Arial"/>
                <w:sz w:val="19"/>
                <w:szCs w:val="19"/>
              </w:rPr>
              <w:t>Sale / Distribution</w:t>
            </w:r>
          </w:p>
          <w:p w14:paraId="21D4BB33" w14:textId="6CF00DDA" w:rsidR="00A155FB" w:rsidRDefault="00A155FB" w:rsidP="00801B19">
            <w:pPr>
              <w:rPr>
                <w:rFonts w:eastAsia="Arial" w:cs="Arial"/>
                <w:sz w:val="19"/>
                <w:szCs w:val="19"/>
              </w:rPr>
            </w:pPr>
          </w:p>
        </w:tc>
        <w:tc>
          <w:tcPr>
            <w:tcW w:w="1701" w:type="dxa"/>
          </w:tcPr>
          <w:p w14:paraId="3BC23204" w14:textId="5BF2767A" w:rsidR="00FD1FD5" w:rsidRDefault="00BB21BC" w:rsidP="00FD1FD5">
            <w:pPr>
              <w:rPr>
                <w:rFonts w:eastAsia="Arial" w:cs="Arial"/>
                <w:sz w:val="19"/>
                <w:szCs w:val="19"/>
              </w:rPr>
            </w:pPr>
            <w:r>
              <w:rPr>
                <w:rFonts w:eastAsia="Arial" w:cs="Arial"/>
                <w:sz w:val="19"/>
                <w:szCs w:val="19"/>
              </w:rPr>
              <w:t>0</w:t>
            </w:r>
            <w:r w:rsidR="00FD1FD5">
              <w:rPr>
                <w:rFonts w:eastAsia="Arial" w:cs="Arial"/>
                <w:sz w:val="19"/>
                <w:szCs w:val="19"/>
              </w:rPr>
              <w:t>%</w:t>
            </w:r>
          </w:p>
          <w:p w14:paraId="791E474D" w14:textId="7D9A318B" w:rsidR="00392D43" w:rsidRDefault="00392D43" w:rsidP="00FD1FD5">
            <w:pPr>
              <w:rPr>
                <w:rFonts w:eastAsia="Arial" w:cs="Arial"/>
                <w:sz w:val="19"/>
                <w:szCs w:val="19"/>
              </w:rPr>
            </w:pPr>
          </w:p>
        </w:tc>
      </w:tr>
      <w:tr w:rsidR="00A155FB" w14:paraId="0CED1A1E" w14:textId="77777777" w:rsidTr="00EC2858">
        <w:tc>
          <w:tcPr>
            <w:tcW w:w="3681" w:type="dxa"/>
          </w:tcPr>
          <w:p w14:paraId="3675CE81" w14:textId="40C2C5F5" w:rsidR="00A155FB" w:rsidRDefault="002D79E0" w:rsidP="00801B19">
            <w:pPr>
              <w:spacing w:after="260"/>
              <w:rPr>
                <w:rFonts w:eastAsia="Arial" w:cs="Arial"/>
                <w:sz w:val="19"/>
                <w:szCs w:val="19"/>
              </w:rPr>
            </w:pPr>
            <w:r w:rsidRPr="00C23444">
              <w:rPr>
                <w:rFonts w:eastAsia="Arial" w:cs="Arial"/>
                <w:sz w:val="19"/>
                <w:szCs w:val="19"/>
              </w:rPr>
              <w:t>Nuclear weapons</w:t>
            </w:r>
            <w:r w:rsidR="00A155FB" w:rsidRPr="00C23444">
              <w:rPr>
                <w:rFonts w:eastAsia="Arial" w:cs="Arial"/>
                <w:sz w:val="19"/>
                <w:szCs w:val="19"/>
              </w:rPr>
              <w:t xml:space="preserve"> </w:t>
            </w:r>
            <w:r w:rsidR="00A155FB">
              <w:rPr>
                <w:rFonts w:eastAsia="Arial" w:cs="Arial"/>
                <w:sz w:val="19"/>
                <w:szCs w:val="19"/>
              </w:rPr>
              <w:t>(</w:t>
            </w:r>
            <w:r w:rsidR="00A155FB" w:rsidRPr="00C23444">
              <w:rPr>
                <w:rFonts w:eastAsia="Arial" w:cs="Arial"/>
                <w:sz w:val="19"/>
                <w:szCs w:val="19"/>
              </w:rPr>
              <w:t>warheads and missiles, fissile</w:t>
            </w:r>
            <w:r w:rsidR="00A155FB">
              <w:rPr>
                <w:rFonts w:eastAsia="Arial" w:cs="Arial"/>
                <w:sz w:val="19"/>
                <w:szCs w:val="19"/>
              </w:rPr>
              <w:t xml:space="preserve"> </w:t>
            </w:r>
            <w:r w:rsidR="00A155FB" w:rsidRPr="00C23444">
              <w:rPr>
                <w:rFonts w:eastAsia="Arial" w:cs="Arial"/>
                <w:sz w:val="19"/>
                <w:szCs w:val="19"/>
              </w:rPr>
              <w:t>material, exclusive-use components</w:t>
            </w:r>
            <w:r w:rsidR="00A155FB">
              <w:rPr>
                <w:rFonts w:eastAsia="Arial" w:cs="Arial"/>
                <w:sz w:val="19"/>
                <w:szCs w:val="19"/>
              </w:rPr>
              <w:t>)</w:t>
            </w:r>
          </w:p>
        </w:tc>
        <w:tc>
          <w:tcPr>
            <w:tcW w:w="2976" w:type="dxa"/>
          </w:tcPr>
          <w:p w14:paraId="607FF2F1" w14:textId="3C1EFCA9" w:rsidR="00A155FB" w:rsidRDefault="000D7255" w:rsidP="00801B19">
            <w:pPr>
              <w:rPr>
                <w:rFonts w:eastAsia="Arial" w:cs="Arial"/>
                <w:sz w:val="19"/>
                <w:szCs w:val="19"/>
              </w:rPr>
            </w:pPr>
            <w:r>
              <w:rPr>
                <w:rFonts w:eastAsia="Arial" w:cs="Arial"/>
                <w:sz w:val="19"/>
                <w:szCs w:val="19"/>
              </w:rPr>
              <w:t>Manufacture</w:t>
            </w:r>
          </w:p>
        </w:tc>
        <w:tc>
          <w:tcPr>
            <w:tcW w:w="1701" w:type="dxa"/>
          </w:tcPr>
          <w:p w14:paraId="2405A34A" w14:textId="54ED2865" w:rsidR="00FD1FD5" w:rsidRDefault="00EE2275" w:rsidP="00FD1FD5">
            <w:pPr>
              <w:rPr>
                <w:rFonts w:eastAsia="Arial" w:cs="Arial"/>
                <w:sz w:val="19"/>
                <w:szCs w:val="19"/>
              </w:rPr>
            </w:pPr>
            <w:r>
              <w:rPr>
                <w:rFonts w:eastAsia="Arial" w:cs="Arial"/>
                <w:sz w:val="19"/>
                <w:szCs w:val="19"/>
              </w:rPr>
              <w:t>0</w:t>
            </w:r>
            <w:r w:rsidR="00FD1FD5">
              <w:rPr>
                <w:rFonts w:eastAsia="Arial" w:cs="Arial"/>
                <w:sz w:val="19"/>
                <w:szCs w:val="19"/>
              </w:rPr>
              <w:t>%</w:t>
            </w:r>
          </w:p>
          <w:p w14:paraId="2797FDB7" w14:textId="77777777" w:rsidR="00A155FB" w:rsidRDefault="00A155FB" w:rsidP="00FD1FD5">
            <w:pPr>
              <w:rPr>
                <w:rFonts w:eastAsia="Arial" w:cs="Arial"/>
                <w:sz w:val="19"/>
                <w:szCs w:val="19"/>
              </w:rPr>
            </w:pPr>
          </w:p>
        </w:tc>
      </w:tr>
    </w:tbl>
    <w:p w14:paraId="3C38E385" w14:textId="77777777" w:rsidR="004F6A72" w:rsidRPr="004F6A72" w:rsidRDefault="004F6A72" w:rsidP="0053188A">
      <w:pPr>
        <w:rPr>
          <w:i/>
          <w:iCs/>
          <w:color w:val="C00000"/>
          <w:sz w:val="18"/>
          <w:szCs w:val="22"/>
        </w:rPr>
      </w:pPr>
    </w:p>
    <w:p w14:paraId="322384E1" w14:textId="3C6D0B55" w:rsidR="005A0986" w:rsidRPr="002C634D" w:rsidRDefault="005A0986" w:rsidP="00AC252D">
      <w:pPr>
        <w:rPr>
          <w:highlight w:val="yellow"/>
        </w:rPr>
      </w:pPr>
    </w:p>
    <w:p w14:paraId="76299304" w14:textId="779B8540" w:rsidR="004F6A72" w:rsidRDefault="00E37A28" w:rsidP="00E37A28">
      <w:pPr>
        <w:rPr>
          <w:szCs w:val="24"/>
        </w:rPr>
      </w:pPr>
      <w:r>
        <w:rPr>
          <w:szCs w:val="24"/>
        </w:rPr>
        <w:t>As described in the Sustainability Annex, the Investment Manager will have regard to c</w:t>
      </w:r>
      <w:r w:rsidRPr="00314D11">
        <w:rPr>
          <w:szCs w:val="24"/>
        </w:rPr>
        <w:t>ertain principal adverse indicators ("</w:t>
      </w:r>
      <w:r w:rsidRPr="00314D11">
        <w:rPr>
          <w:b/>
          <w:szCs w:val="24"/>
        </w:rPr>
        <w:t>PAIs</w:t>
      </w:r>
      <w:r w:rsidRPr="00314D11">
        <w:rPr>
          <w:szCs w:val="24"/>
        </w:rPr>
        <w:t xml:space="preserve">") </w:t>
      </w:r>
      <w:r>
        <w:rPr>
          <w:szCs w:val="24"/>
        </w:rPr>
        <w:t xml:space="preserve">under the SFDR framework as a mechanism to </w:t>
      </w:r>
      <w:r w:rsidRPr="00314D11">
        <w:rPr>
          <w:szCs w:val="24"/>
        </w:rPr>
        <w:t>measure and test the environmental</w:t>
      </w:r>
      <w:r>
        <w:rPr>
          <w:szCs w:val="24"/>
        </w:rPr>
        <w:t xml:space="preserve"> and social characteristics of</w:t>
      </w:r>
      <w:r w:rsidR="00C8710E">
        <w:rPr>
          <w:szCs w:val="24"/>
        </w:rPr>
        <w:t xml:space="preserve"> investments and to help </w:t>
      </w:r>
      <w:r w:rsidRPr="00314D11">
        <w:rPr>
          <w:szCs w:val="24"/>
        </w:rPr>
        <w:t>the Fund in analysing the potential negative impact of underlying investments</w:t>
      </w:r>
      <w:r w:rsidR="00C8710E">
        <w:rPr>
          <w:szCs w:val="24"/>
        </w:rPr>
        <w:t xml:space="preserve"> on the environment and society.  The </w:t>
      </w:r>
      <w:r w:rsidRPr="00314D11">
        <w:rPr>
          <w:szCs w:val="24"/>
        </w:rPr>
        <w:t xml:space="preserve">Fund will expand the list of PAIs considered as reporting by individual issuers and </w:t>
      </w:r>
      <w:r w:rsidR="002D79E0" w:rsidRPr="00314D11">
        <w:rPr>
          <w:szCs w:val="24"/>
        </w:rPr>
        <w:t>third-party</w:t>
      </w:r>
      <w:r w:rsidRPr="00314D11">
        <w:rPr>
          <w:szCs w:val="24"/>
        </w:rPr>
        <w:t xml:space="preserve"> data analysts improves over time.</w:t>
      </w:r>
      <w:r w:rsidR="00396932">
        <w:rPr>
          <w:szCs w:val="24"/>
        </w:rPr>
        <w:t xml:space="preserve"> </w:t>
      </w:r>
      <w:r w:rsidR="00C8710E">
        <w:rPr>
          <w:szCs w:val="24"/>
        </w:rPr>
        <w:t xml:space="preserve"> In implementing its screening process, the</w:t>
      </w:r>
      <w:r w:rsidR="00396932">
        <w:rPr>
          <w:szCs w:val="24"/>
        </w:rPr>
        <w:t xml:space="preserve"> </w:t>
      </w:r>
      <w:r>
        <w:rPr>
          <w:szCs w:val="24"/>
        </w:rPr>
        <w:t xml:space="preserve">Investment Manager </w:t>
      </w:r>
      <w:r w:rsidR="00396932">
        <w:rPr>
          <w:szCs w:val="24"/>
        </w:rPr>
        <w:t xml:space="preserve">also </w:t>
      </w:r>
      <w:r w:rsidR="00396932" w:rsidRPr="00396932">
        <w:rPr>
          <w:szCs w:val="24"/>
        </w:rPr>
        <w:t>considers Sustainable Accounting Standards Board ("</w:t>
      </w:r>
      <w:r w:rsidR="00396932" w:rsidRPr="00EC2858">
        <w:rPr>
          <w:b/>
          <w:bCs/>
          <w:szCs w:val="24"/>
        </w:rPr>
        <w:t>SASB</w:t>
      </w:r>
      <w:r w:rsidR="00396932" w:rsidRPr="00396932">
        <w:rPr>
          <w:szCs w:val="24"/>
        </w:rPr>
        <w:t>") Scores provided by TrueValue Labs, a third party data service provider which analyses various publicly available sources to assess ESG risks and opportunities against 26 ESG categories as defined by the SASB, along with an ove</w:t>
      </w:r>
      <w:r w:rsidR="00396932">
        <w:rPr>
          <w:szCs w:val="24"/>
        </w:rPr>
        <w:t xml:space="preserve">rall score and a volume score. </w:t>
      </w:r>
    </w:p>
    <w:p w14:paraId="1599A594" w14:textId="77777777" w:rsidR="004F6A72" w:rsidRPr="004F6A72" w:rsidRDefault="004F6A72" w:rsidP="00E37A28">
      <w:pPr>
        <w:rPr>
          <w:i/>
          <w:iCs/>
          <w:color w:val="C00000"/>
          <w:sz w:val="18"/>
          <w:szCs w:val="22"/>
        </w:rPr>
      </w:pPr>
    </w:p>
    <w:p w14:paraId="39718ECD" w14:textId="0E405F82" w:rsidR="00F40802" w:rsidRPr="00F12814" w:rsidRDefault="005A0986" w:rsidP="004F0D41">
      <w:r w:rsidRPr="00AC252D">
        <w:t>The Investment Manager in its sole discretion may periodically update its screening process, amend the type of activities that are excluded for investment or revise the thresholds applicable to any such activities.</w:t>
      </w:r>
      <w:r w:rsidR="00AC252D" w:rsidRPr="00AC252D">
        <w:t xml:space="preserve"> </w:t>
      </w:r>
      <w:r w:rsidR="000A3318" w:rsidRPr="00AC252D">
        <w:t>When the</w:t>
      </w:r>
      <w:r w:rsidRPr="00AC252D">
        <w:t xml:space="preserve"> exclusionary criteria applied by the Investment Manager </w:t>
      </w:r>
      <w:r w:rsidR="000A3318" w:rsidRPr="00AC252D">
        <w:t>is</w:t>
      </w:r>
      <w:r w:rsidRPr="00AC252D">
        <w:t xml:space="preserve"> determined in reliance on one or a num</w:t>
      </w:r>
      <w:r w:rsidR="006047C4">
        <w:t xml:space="preserve">ber of third party ESG vendors, the </w:t>
      </w:r>
      <w:r w:rsidRPr="00AC252D">
        <w:t xml:space="preserve">Investment Manager, in its sole discretion, retains the right to disapply data and/or ratings provided by </w:t>
      </w:r>
      <w:r w:rsidR="006047C4">
        <w:t xml:space="preserve">such </w:t>
      </w:r>
      <w:r w:rsidRPr="00AC252D">
        <w:t>third party vendors where it deems the data and/or ratings to be inaccurate or inappropriate</w:t>
      </w:r>
      <w:r w:rsidR="00343071">
        <w:t>.</w:t>
      </w:r>
      <w:r w:rsidR="004F0D41">
        <w:t xml:space="preserve"> </w:t>
      </w:r>
      <w:r w:rsidRPr="00AC252D">
        <w:t xml:space="preserve">In some cases, data and/or ratings on specific </w:t>
      </w:r>
      <w:r w:rsidR="008C41E4">
        <w:t>eligible assets</w:t>
      </w:r>
      <w:r w:rsidR="008C41E4" w:rsidRPr="00AC252D">
        <w:t xml:space="preserve"> </w:t>
      </w:r>
      <w:r w:rsidRPr="00AC252D">
        <w:t>may not be available or may be estimated by the Investment Manager using internal processes or reasonable estimates</w:t>
      </w:r>
      <w:r w:rsidR="004F0D41" w:rsidRPr="004F0D41">
        <w:t xml:space="preserve"> </w:t>
      </w:r>
      <w:r w:rsidR="004F0D41">
        <w:t>in light of its one-to-one meetings and ongoing engagement with management of target or existing portfolio companies</w:t>
      </w:r>
      <w:r w:rsidR="004F0D41" w:rsidRPr="00AC252D">
        <w:t>.</w:t>
      </w:r>
    </w:p>
    <w:p w14:paraId="2322AD39" w14:textId="18A709F2" w:rsidR="004F6A72" w:rsidRPr="004F6A72" w:rsidRDefault="00C20FA7" w:rsidP="0098344C">
      <w:pPr>
        <w:rPr>
          <w:color w:val="C00000"/>
          <w:szCs w:val="24"/>
        </w:rPr>
      </w:pPr>
      <w:r>
        <w:rPr>
          <w:color w:val="C00000"/>
          <w:szCs w:val="24"/>
        </w:rPr>
        <w:t xml:space="preserve"> </w:t>
      </w:r>
    </w:p>
    <w:p w14:paraId="7AFBBEAB" w14:textId="6593A999" w:rsidR="00D31239" w:rsidRPr="000F3A64" w:rsidRDefault="0077134D" w:rsidP="0098344C">
      <w:pPr>
        <w:rPr>
          <w:rFonts w:eastAsia="SimSun"/>
          <w:b/>
          <w:i/>
        </w:rPr>
      </w:pPr>
      <w:r w:rsidRPr="000F3A64">
        <w:rPr>
          <w:rFonts w:eastAsia="SimSun"/>
          <w:b/>
          <w:i/>
        </w:rPr>
        <w:t>Derivatives</w:t>
      </w:r>
    </w:p>
    <w:p w14:paraId="19140100" w14:textId="38F00A1F" w:rsidR="0077134D" w:rsidRPr="000F3A64" w:rsidRDefault="0077134D" w:rsidP="0098344C">
      <w:pPr>
        <w:pStyle w:val="NormalLinespacingMultiple115li"/>
        <w:spacing w:line="240" w:lineRule="auto"/>
      </w:pPr>
    </w:p>
    <w:p w14:paraId="7F8BCC17" w14:textId="392ECBE7" w:rsidR="00940AD5" w:rsidRDefault="00940AD5" w:rsidP="00940AD5">
      <w:pPr>
        <w:spacing w:after="240"/>
        <w:rPr>
          <w:szCs w:val="24"/>
        </w:rPr>
      </w:pPr>
      <w:r w:rsidRPr="000F3A64">
        <w:rPr>
          <w:szCs w:val="24"/>
        </w:rPr>
        <w:t>The Fund may use exchange traded and OTC derivatives for efficient portfolio management purposes.</w:t>
      </w:r>
      <w:r w:rsidRPr="007C063B">
        <w:rPr>
          <w:szCs w:val="24"/>
        </w:rPr>
        <w:t xml:space="preserve"> </w:t>
      </w:r>
    </w:p>
    <w:p w14:paraId="0B799367" w14:textId="5725E31B" w:rsidR="00940AD5" w:rsidRDefault="00940AD5" w:rsidP="00940AD5">
      <w:pPr>
        <w:spacing w:after="240"/>
        <w:rPr>
          <w:szCs w:val="24"/>
        </w:rPr>
      </w:pPr>
      <w:r w:rsidRPr="00F11201">
        <w:rPr>
          <w:szCs w:val="24"/>
        </w:rPr>
        <w:t>The Fund may gain exposure to</w:t>
      </w:r>
      <w:r w:rsidR="00304A29">
        <w:rPr>
          <w:szCs w:val="24"/>
        </w:rPr>
        <w:t xml:space="preserve"> forwards such as currency forwards,</w:t>
      </w:r>
      <w:r w:rsidRPr="00F11201">
        <w:rPr>
          <w:szCs w:val="24"/>
        </w:rPr>
        <w:t xml:space="preserve"> futures contracts, options on futures contracts</w:t>
      </w:r>
      <w:r w:rsidR="00304A29">
        <w:rPr>
          <w:szCs w:val="24"/>
        </w:rPr>
        <w:t xml:space="preserve">, </w:t>
      </w:r>
      <w:r w:rsidRPr="00F11201">
        <w:rPr>
          <w:szCs w:val="24"/>
        </w:rPr>
        <w:t>options on direct securities</w:t>
      </w:r>
      <w:r w:rsidR="005026C5">
        <w:rPr>
          <w:szCs w:val="24"/>
        </w:rPr>
        <w:t xml:space="preserve"> </w:t>
      </w:r>
      <w:r w:rsidR="00304A29">
        <w:rPr>
          <w:szCs w:val="24"/>
        </w:rPr>
        <w:t xml:space="preserve">and covered warrants </w:t>
      </w:r>
      <w:r>
        <w:rPr>
          <w:szCs w:val="24"/>
        </w:rPr>
        <w:t>as outlined in further detail below</w:t>
      </w:r>
      <w:r w:rsidRPr="00FD084E">
        <w:rPr>
          <w:szCs w:val="24"/>
        </w:rPr>
        <w:t>.</w:t>
      </w:r>
      <w:r w:rsidRPr="007C063B">
        <w:rPr>
          <w:szCs w:val="24"/>
        </w:rPr>
        <w:t xml:space="preserve"> Each of these derivatives may be exchange traded and listed on a Recognised Market globally or over the counter and may be used for </w:t>
      </w:r>
      <w:r w:rsidR="00304A29">
        <w:rPr>
          <w:szCs w:val="24"/>
        </w:rPr>
        <w:t xml:space="preserve">currency hedging and </w:t>
      </w:r>
      <w:r w:rsidRPr="007C063B">
        <w:rPr>
          <w:szCs w:val="24"/>
        </w:rPr>
        <w:t>efficient portfolio management.</w:t>
      </w:r>
      <w:r>
        <w:rPr>
          <w:szCs w:val="24"/>
        </w:rPr>
        <w:t xml:space="preserve"> </w:t>
      </w:r>
    </w:p>
    <w:p w14:paraId="25034528" w14:textId="77777777" w:rsidR="00DA5353" w:rsidRPr="00DA5353" w:rsidRDefault="00DA5353" w:rsidP="00DA5353">
      <w:pPr>
        <w:spacing w:after="240"/>
        <w:rPr>
          <w:szCs w:val="24"/>
        </w:rPr>
      </w:pPr>
      <w:r w:rsidRPr="00DA5353">
        <w:rPr>
          <w:szCs w:val="24"/>
        </w:rPr>
        <w:t>The Fund may (but is not obliged to) enter into certain currency related transactions in order to hedge the currency exposure of the Classes denominated in a currency other than the Base Currency, as described in the section of the Prospectus entitled “Share Currency Designation Risk”. Where the Fund does not enter into such hedging transactions, a currency conversion will take place on subscription, redemption, switching and distributions at prevailing exchange rates where the value of the share expressed in the class currency will be subject to exchange rate risk in relation to the Base Currency.</w:t>
      </w:r>
    </w:p>
    <w:p w14:paraId="63867659" w14:textId="0980E33B" w:rsidR="00DA5353" w:rsidRDefault="00DA5353" w:rsidP="00DA5353">
      <w:pPr>
        <w:spacing w:after="240"/>
        <w:rPr>
          <w:szCs w:val="24"/>
        </w:rPr>
      </w:pPr>
      <w:r w:rsidRPr="00DA5353">
        <w:rPr>
          <w:szCs w:val="24"/>
        </w:rPr>
        <w:t>Where a class of Shares of the Fund is designated as being hedged, the Fund shall enter into currency related transactions in order to hedge the currency exposure of such Classes, as described in the section of the Prospectus entitled “Share Currency Designation Risk”.</w:t>
      </w:r>
    </w:p>
    <w:p w14:paraId="2C2618B6" w14:textId="1341B225" w:rsidR="00B35B34" w:rsidRPr="007C063B" w:rsidRDefault="00B35B34" w:rsidP="00B35B34">
      <w:pPr>
        <w:spacing w:after="240"/>
        <w:rPr>
          <w:szCs w:val="24"/>
        </w:rPr>
      </w:pPr>
      <w:r w:rsidRPr="00B35B34">
        <w:rPr>
          <w:szCs w:val="24"/>
        </w:rPr>
        <w:t>Currency Forwards: These may be used for performance enhancement and hedging purposes: (a) to</w:t>
      </w:r>
      <w:r w:rsidR="00304A29">
        <w:rPr>
          <w:szCs w:val="24"/>
        </w:rPr>
        <w:t xml:space="preserve"> </w:t>
      </w:r>
      <w:r w:rsidRPr="00B35B34">
        <w:rPr>
          <w:szCs w:val="24"/>
        </w:rPr>
        <w:t>protect the strength of the Base Currency of the Fund (b) to hedge the designated currency of the</w:t>
      </w:r>
      <w:r w:rsidR="00304A29">
        <w:rPr>
          <w:szCs w:val="24"/>
        </w:rPr>
        <w:t xml:space="preserve"> </w:t>
      </w:r>
      <w:r w:rsidRPr="00B35B34">
        <w:rPr>
          <w:szCs w:val="24"/>
        </w:rPr>
        <w:t>assets of the Fund to the Base Currency of the Fund. Where the Fund engages in foreign exchange</w:t>
      </w:r>
      <w:r w:rsidR="00304A29">
        <w:rPr>
          <w:szCs w:val="24"/>
        </w:rPr>
        <w:t xml:space="preserve"> </w:t>
      </w:r>
      <w:r w:rsidRPr="00B35B34">
        <w:rPr>
          <w:szCs w:val="24"/>
        </w:rPr>
        <w:t>transactions which alter the currency exposure characteristics of its investments the performance of</w:t>
      </w:r>
      <w:r w:rsidR="00304A29">
        <w:rPr>
          <w:szCs w:val="24"/>
        </w:rPr>
        <w:t xml:space="preserve"> </w:t>
      </w:r>
      <w:r w:rsidRPr="00B35B34">
        <w:rPr>
          <w:szCs w:val="24"/>
        </w:rPr>
        <w:t xml:space="preserve">the </w:t>
      </w:r>
      <w:r w:rsidRPr="00B35B34">
        <w:rPr>
          <w:szCs w:val="24"/>
        </w:rPr>
        <w:lastRenderedPageBreak/>
        <w:t>Fund may be significantly influenced by movements in exchange rates as currency positions held</w:t>
      </w:r>
      <w:r w:rsidR="00304A29">
        <w:rPr>
          <w:szCs w:val="24"/>
        </w:rPr>
        <w:t xml:space="preserve"> </w:t>
      </w:r>
      <w:r w:rsidRPr="00B35B34">
        <w:rPr>
          <w:szCs w:val="24"/>
        </w:rPr>
        <w:t>by the Fund may not correspond with the securities positions held</w:t>
      </w:r>
      <w:r w:rsidR="00FC54CD">
        <w:rPr>
          <w:szCs w:val="24"/>
        </w:rPr>
        <w:t>.</w:t>
      </w:r>
    </w:p>
    <w:p w14:paraId="40A62B0B" w14:textId="77777777" w:rsidR="00795BEC" w:rsidRPr="00470248" w:rsidRDefault="00795BEC" w:rsidP="00921555">
      <w:pPr>
        <w:spacing w:after="240"/>
        <w:rPr>
          <w:szCs w:val="24"/>
        </w:rPr>
      </w:pPr>
      <w:r w:rsidRPr="00414889">
        <w:rPr>
          <w:szCs w:val="24"/>
        </w:rPr>
        <w:t>Futures Contracts</w:t>
      </w:r>
      <w:r w:rsidRPr="00470248">
        <w:rPr>
          <w:szCs w:val="24"/>
        </w:rPr>
        <w:t xml:space="preserve">: </w:t>
      </w:r>
      <w:r w:rsidR="003F0FEB" w:rsidRPr="00470248">
        <w:t>Futures will be used mainly for tactical asset allocation to manage substantial cash flows received into the Fund in order to minimise the risk of the Fund underperforming due to larger than desired cash balances. A large inflow of cash may result in the Fund being underexposed to the market. Entering into Futures contract in place of immediate purchase of underlying stocks in such circumstances may be deemed more cost effective and expedient. This substitution will be temporary in nature until a more optimal time to purchase underlying stocks is ascertained.</w:t>
      </w:r>
      <w:r w:rsidR="003F0FEB" w:rsidRPr="00470248">
        <w:rPr>
          <w:szCs w:val="24"/>
        </w:rPr>
        <w:t xml:space="preserve"> </w:t>
      </w:r>
      <w:r w:rsidRPr="00470248">
        <w:rPr>
          <w:szCs w:val="24"/>
        </w:rPr>
        <w:t>Any securities</w:t>
      </w:r>
      <w:r w:rsidR="00913432" w:rsidRPr="00470248">
        <w:rPr>
          <w:szCs w:val="24"/>
        </w:rPr>
        <w:t xml:space="preserve"> or indices</w:t>
      </w:r>
      <w:r w:rsidRPr="00470248">
        <w:rPr>
          <w:szCs w:val="24"/>
        </w:rPr>
        <w:t xml:space="preserve"> to which exposure is obtained through futures will be consistent with the i</w:t>
      </w:r>
      <w:r w:rsidR="00E63717" w:rsidRPr="00470248">
        <w:rPr>
          <w:szCs w:val="24"/>
        </w:rPr>
        <w:t>nvestment policies of the Fund.</w:t>
      </w:r>
    </w:p>
    <w:p w14:paraId="19B5DE1C" w14:textId="18D4C082" w:rsidR="00795BEC" w:rsidRDefault="00795BEC" w:rsidP="00921555">
      <w:pPr>
        <w:spacing w:after="240"/>
        <w:rPr>
          <w:szCs w:val="24"/>
        </w:rPr>
      </w:pPr>
      <w:r w:rsidRPr="00414889">
        <w:rPr>
          <w:szCs w:val="24"/>
        </w:rPr>
        <w:t>Options</w:t>
      </w:r>
      <w:r w:rsidRPr="00470248">
        <w:rPr>
          <w:szCs w:val="24"/>
        </w:rPr>
        <w:t>:</w:t>
      </w:r>
      <w:r w:rsidR="003F0FEB" w:rsidRPr="00470248">
        <w:t xml:space="preserve"> Put options may be purchased to protect the value of the Fund or a portion of the Fund from expected sharp downside movements in equity markets or major industry groups. It is less cumbersome than selling out large positions and trying to buy them back. It avoids slippage and friction and keeps turnover low. </w:t>
      </w:r>
      <w:r w:rsidR="00913432" w:rsidRPr="00470248">
        <w:t>Call</w:t>
      </w:r>
      <w:r w:rsidR="003F0FEB" w:rsidRPr="00470248">
        <w:t xml:space="preserve"> options may be used to enhance an existing position if short term strength is expected. Call Options can be purchased or sold to either gain upside exposure to an appropriate index or major industry group or be sold (covered sale only) to add income from premium dollars received as an investment overlay to an existing long position in the broad market, industry or specific stock holding, respectively</w:t>
      </w:r>
      <w:r w:rsidR="003F0FEB" w:rsidRPr="00470248">
        <w:rPr>
          <w:szCs w:val="24"/>
        </w:rPr>
        <w:t xml:space="preserve"> </w:t>
      </w:r>
      <w:r w:rsidRPr="00470248">
        <w:rPr>
          <w:szCs w:val="24"/>
        </w:rPr>
        <w:t>The Fund may write and purchase call and put options on any stock</w:t>
      </w:r>
      <w:r w:rsidR="00913432" w:rsidRPr="00470248">
        <w:rPr>
          <w:szCs w:val="24"/>
        </w:rPr>
        <w:t xml:space="preserve"> or index </w:t>
      </w:r>
      <w:r w:rsidRPr="00470248">
        <w:rPr>
          <w:szCs w:val="24"/>
        </w:rPr>
        <w:t xml:space="preserve"> consistent with the investment policies of the Fund. </w:t>
      </w:r>
    </w:p>
    <w:p w14:paraId="34E9F692" w14:textId="446DAF0C" w:rsidR="00304A29" w:rsidRDefault="00304A29" w:rsidP="00304A29">
      <w:pPr>
        <w:spacing w:after="240"/>
        <w:rPr>
          <w:szCs w:val="24"/>
          <w:lang w:val="en-US"/>
        </w:rPr>
      </w:pPr>
      <w:r w:rsidRPr="00304A29">
        <w:rPr>
          <w:szCs w:val="24"/>
          <w:lang w:val="en-US"/>
        </w:rPr>
        <w:t>Covered Warrants: Subject to the limits outlined above, the Fund may invest in covered warrants</w:t>
      </w:r>
      <w:r>
        <w:rPr>
          <w:szCs w:val="24"/>
          <w:lang w:val="en-US"/>
        </w:rPr>
        <w:t xml:space="preserve"> </w:t>
      </w:r>
      <w:r w:rsidRPr="00304A29">
        <w:rPr>
          <w:szCs w:val="24"/>
          <w:lang w:val="en-US"/>
        </w:rPr>
        <w:t xml:space="preserve">issued by a reputable broker and listed on or dealt in a Recognised Market in a more efficient form than could be obtained by buying the equities </w:t>
      </w:r>
      <w:r w:rsidR="002D79E0" w:rsidRPr="00304A29">
        <w:rPr>
          <w:szCs w:val="24"/>
          <w:lang w:val="en-US"/>
        </w:rPr>
        <w:t>directly,</w:t>
      </w:r>
      <w:r w:rsidR="002D79E0">
        <w:rPr>
          <w:szCs w:val="24"/>
          <w:lang w:val="en-US"/>
        </w:rPr>
        <w:t xml:space="preserve"> </w:t>
      </w:r>
      <w:r w:rsidR="002D79E0" w:rsidRPr="00304A29">
        <w:rPr>
          <w:szCs w:val="24"/>
          <w:lang w:val="en-US"/>
        </w:rPr>
        <w:t>this</w:t>
      </w:r>
      <w:r w:rsidRPr="00304A29">
        <w:rPr>
          <w:szCs w:val="24"/>
          <w:lang w:val="en-US"/>
        </w:rPr>
        <w:t xml:space="preserve"> might be because of a reduction in transaction costs, improved liquidity or lower tax. Covered</w:t>
      </w:r>
      <w:r>
        <w:rPr>
          <w:szCs w:val="24"/>
          <w:lang w:val="en-US"/>
        </w:rPr>
        <w:t xml:space="preserve"> </w:t>
      </w:r>
      <w:r w:rsidRPr="00304A29">
        <w:rPr>
          <w:szCs w:val="24"/>
          <w:lang w:val="en-US"/>
        </w:rPr>
        <w:t>Warrants may also be used to enhance an existing position if s</w:t>
      </w:r>
      <w:r w:rsidR="00AE20F4">
        <w:rPr>
          <w:szCs w:val="24"/>
          <w:lang w:val="en-US"/>
        </w:rPr>
        <w:t>hort term strength is expected.</w:t>
      </w:r>
    </w:p>
    <w:p w14:paraId="71169263" w14:textId="3BE127FA" w:rsidR="007215DD" w:rsidRDefault="007215DD" w:rsidP="00697FC3">
      <w:pPr>
        <w:rPr>
          <w:rFonts w:eastAsia="SimSun"/>
          <w:b/>
          <w:sz w:val="22"/>
          <w:szCs w:val="22"/>
        </w:rPr>
      </w:pPr>
      <w:r w:rsidRPr="00697FC3">
        <w:rPr>
          <w:rFonts w:eastAsia="SimSun"/>
          <w:b/>
          <w:sz w:val="22"/>
          <w:szCs w:val="22"/>
        </w:rPr>
        <w:t xml:space="preserve">Other Efficient Portfolio Management Techniques </w:t>
      </w:r>
    </w:p>
    <w:p w14:paraId="6E594F33" w14:textId="77777777" w:rsidR="00697FC3" w:rsidRPr="00697FC3" w:rsidRDefault="00697FC3" w:rsidP="00697FC3">
      <w:pPr>
        <w:rPr>
          <w:rFonts w:eastAsia="SimSun"/>
          <w:b/>
          <w:sz w:val="22"/>
          <w:szCs w:val="22"/>
        </w:rPr>
      </w:pPr>
    </w:p>
    <w:p w14:paraId="09FAE557" w14:textId="6F2C70F7" w:rsidR="007215DD" w:rsidRDefault="007215DD" w:rsidP="00921555">
      <w:pPr>
        <w:spacing w:after="240"/>
        <w:rPr>
          <w:szCs w:val="24"/>
          <w:lang w:val="en-US"/>
        </w:rPr>
      </w:pPr>
      <w:r w:rsidRPr="00470248">
        <w:rPr>
          <w:szCs w:val="24"/>
          <w:lang w:val="en-US"/>
        </w:rPr>
        <w:t xml:space="preserve">The Fund may also use the following techniques and instruments for efficient portfolio management purposes such as </w:t>
      </w:r>
      <w:r w:rsidR="004B2AB6">
        <w:rPr>
          <w:szCs w:val="24"/>
          <w:lang w:val="en-US"/>
        </w:rPr>
        <w:t xml:space="preserve">hedging and </w:t>
      </w:r>
      <w:r w:rsidRPr="00470248">
        <w:rPr>
          <w:szCs w:val="24"/>
          <w:lang w:val="en-US"/>
        </w:rPr>
        <w:t>performance enhancement (i.e. reduction of cost, generation of additional capital or income, etc.) in accordance with the terms and conditions set out by the Central Bank from time to time in relation to any such techniques and instruments:</w:t>
      </w:r>
    </w:p>
    <w:p w14:paraId="7ACA81BF" w14:textId="09AB0813" w:rsidR="00467152" w:rsidRDefault="004B2AB6" w:rsidP="001B47EA">
      <w:pPr>
        <w:spacing w:after="240"/>
        <w:rPr>
          <w:szCs w:val="24"/>
          <w:lang w:val="en-US"/>
        </w:rPr>
      </w:pPr>
      <w:r w:rsidRPr="008C172F">
        <w:rPr>
          <w:i/>
          <w:szCs w:val="24"/>
          <w:lang w:val="en-US"/>
        </w:rPr>
        <w:t>Hedging</w:t>
      </w:r>
      <w:r>
        <w:rPr>
          <w:szCs w:val="24"/>
          <w:lang w:val="en-US"/>
        </w:rPr>
        <w:t>. The Fund may enter</w:t>
      </w:r>
      <w:r w:rsidR="006974AD">
        <w:rPr>
          <w:szCs w:val="24"/>
          <w:lang w:val="en-US"/>
        </w:rPr>
        <w:t xml:space="preserve"> into currenc</w:t>
      </w:r>
      <w:r>
        <w:rPr>
          <w:szCs w:val="24"/>
          <w:lang w:val="en-US"/>
        </w:rPr>
        <w:t>y related transactions as outlined above for hedging purposes.</w:t>
      </w:r>
    </w:p>
    <w:p w14:paraId="22966B02" w14:textId="3FC5DA27" w:rsidR="007215DD" w:rsidRPr="00470248" w:rsidRDefault="007215DD" w:rsidP="0098344C">
      <w:pPr>
        <w:spacing w:after="240"/>
        <w:rPr>
          <w:szCs w:val="24"/>
          <w:lang w:val="en-US"/>
        </w:rPr>
      </w:pPr>
      <w:r w:rsidRPr="00470248">
        <w:rPr>
          <w:szCs w:val="24"/>
          <w:lang w:val="en-US"/>
        </w:rPr>
        <w:t>Information on the colla</w:t>
      </w:r>
      <w:r w:rsidR="002A75A1">
        <w:rPr>
          <w:szCs w:val="24"/>
          <w:lang w:val="en-US"/>
        </w:rPr>
        <w:t>teral management policy of the</w:t>
      </w:r>
      <w:r w:rsidRPr="00470248">
        <w:rPr>
          <w:szCs w:val="24"/>
          <w:lang w:val="en-US"/>
        </w:rPr>
        <w:t xml:space="preserve"> Manager</w:t>
      </w:r>
      <w:r w:rsidR="008056B4">
        <w:rPr>
          <w:szCs w:val="24"/>
          <w:lang w:val="en-US"/>
        </w:rPr>
        <w:t xml:space="preserve"> and its delegate(s)</w:t>
      </w:r>
      <w:r w:rsidRPr="00470248">
        <w:rPr>
          <w:szCs w:val="24"/>
          <w:lang w:val="en-US"/>
        </w:rPr>
        <w:t xml:space="preserve"> is set out in Appendix C of the Prospectus.</w:t>
      </w:r>
    </w:p>
    <w:p w14:paraId="7F93ED23" w14:textId="40044EF6" w:rsidR="007215DD" w:rsidRPr="0017712E" w:rsidRDefault="007215DD" w:rsidP="0098344C">
      <w:pPr>
        <w:rPr>
          <w:rFonts w:eastAsia="SimSun"/>
          <w:b/>
          <w:sz w:val="22"/>
          <w:szCs w:val="22"/>
        </w:rPr>
      </w:pPr>
      <w:r w:rsidRPr="0017712E">
        <w:rPr>
          <w:rFonts w:eastAsia="SimSun"/>
          <w:b/>
          <w:sz w:val="22"/>
          <w:szCs w:val="22"/>
        </w:rPr>
        <w:t>Exposure to securities financing transactions</w:t>
      </w:r>
    </w:p>
    <w:p w14:paraId="68FD4781" w14:textId="77777777" w:rsidR="007215DD" w:rsidRPr="00470248" w:rsidRDefault="007215DD" w:rsidP="0098344C">
      <w:pPr>
        <w:rPr>
          <w:i/>
          <w:iCs/>
          <w:szCs w:val="24"/>
          <w:lang w:val="en-GB"/>
        </w:rPr>
      </w:pPr>
    </w:p>
    <w:p w14:paraId="63EC2CF6" w14:textId="33B050B1" w:rsidR="008142B8" w:rsidRDefault="008142B8" w:rsidP="008142B8">
      <w:pPr>
        <w:spacing w:line="276" w:lineRule="auto"/>
        <w:rPr>
          <w:szCs w:val="24"/>
        </w:rPr>
      </w:pPr>
      <w:r>
        <w:rPr>
          <w:szCs w:val="24"/>
        </w:rPr>
        <w:t xml:space="preserve">It is not anticipated that the Fund will enter into </w:t>
      </w:r>
      <w:r w:rsidR="00A06A35">
        <w:rPr>
          <w:szCs w:val="24"/>
        </w:rPr>
        <w:t xml:space="preserve">stock lending, </w:t>
      </w:r>
      <w:r>
        <w:rPr>
          <w:szCs w:val="24"/>
        </w:rPr>
        <w:t xml:space="preserve">repurchase </w:t>
      </w:r>
      <w:r w:rsidR="004B0AD9">
        <w:rPr>
          <w:szCs w:val="24"/>
        </w:rPr>
        <w:t xml:space="preserve">or </w:t>
      </w:r>
      <w:r>
        <w:rPr>
          <w:szCs w:val="24"/>
        </w:rPr>
        <w:t>reverse repurchase agreements.</w:t>
      </w:r>
    </w:p>
    <w:p w14:paraId="7685CA82" w14:textId="77777777" w:rsidR="008142B8" w:rsidRDefault="008142B8" w:rsidP="008142B8">
      <w:pPr>
        <w:spacing w:line="276" w:lineRule="auto"/>
        <w:rPr>
          <w:szCs w:val="24"/>
        </w:rPr>
      </w:pPr>
    </w:p>
    <w:p w14:paraId="16E30578" w14:textId="61778819" w:rsidR="007215DD" w:rsidRDefault="00122794" w:rsidP="0017712E">
      <w:pPr>
        <w:rPr>
          <w:rFonts w:eastAsia="SimSun"/>
          <w:b/>
          <w:sz w:val="22"/>
          <w:szCs w:val="22"/>
        </w:rPr>
      </w:pPr>
      <w:r w:rsidRPr="0017712E">
        <w:rPr>
          <w:rFonts w:eastAsia="SimSun"/>
          <w:b/>
          <w:sz w:val="22"/>
          <w:szCs w:val="22"/>
        </w:rPr>
        <w:t>Borrowing</w:t>
      </w:r>
      <w:r w:rsidR="007215DD" w:rsidRPr="0017712E">
        <w:rPr>
          <w:rFonts w:eastAsia="SimSun"/>
          <w:b/>
          <w:sz w:val="22"/>
          <w:szCs w:val="22"/>
        </w:rPr>
        <w:t xml:space="preserve"> and Leverage</w:t>
      </w:r>
    </w:p>
    <w:p w14:paraId="41AD16F3" w14:textId="77777777" w:rsidR="0017712E" w:rsidRPr="0017712E" w:rsidRDefault="0017712E" w:rsidP="0017712E">
      <w:pPr>
        <w:rPr>
          <w:rFonts w:eastAsia="SimSun"/>
          <w:b/>
          <w:sz w:val="22"/>
          <w:szCs w:val="22"/>
        </w:rPr>
      </w:pPr>
    </w:p>
    <w:p w14:paraId="1DF25DC4" w14:textId="77777777" w:rsidR="008142B8" w:rsidRDefault="00122794" w:rsidP="008142B8">
      <w:pPr>
        <w:pStyle w:val="L1Para"/>
        <w:ind w:left="0"/>
        <w:jc w:val="both"/>
        <w:rPr>
          <w:szCs w:val="24"/>
        </w:rPr>
      </w:pPr>
      <w:r w:rsidRPr="00414889">
        <w:rPr>
          <w:szCs w:val="24"/>
        </w:rPr>
        <w:t>The Fund must be subject to the borrowing restrictions pursuant to the UCITS Regulations as set out in the “Borrowing Policy” section in the Prospectus.</w:t>
      </w:r>
    </w:p>
    <w:p w14:paraId="6A5B8F44" w14:textId="77777777" w:rsidR="008142B8" w:rsidRDefault="008142B8" w:rsidP="008142B8">
      <w:pPr>
        <w:pStyle w:val="L1Para"/>
        <w:ind w:left="0"/>
        <w:jc w:val="both"/>
        <w:rPr>
          <w:szCs w:val="24"/>
        </w:rPr>
      </w:pPr>
    </w:p>
    <w:p w14:paraId="1E5596B3" w14:textId="0D5AFB0D" w:rsidR="007215DD" w:rsidRDefault="007215DD" w:rsidP="008142B8">
      <w:pPr>
        <w:pStyle w:val="L1Para"/>
        <w:ind w:left="0"/>
        <w:jc w:val="both"/>
        <w:rPr>
          <w:szCs w:val="24"/>
          <w:lang w:val="en-US"/>
        </w:rPr>
      </w:pPr>
      <w:r w:rsidRPr="00414889">
        <w:rPr>
          <w:szCs w:val="24"/>
          <w:lang w:val="en-US"/>
        </w:rPr>
        <w:t xml:space="preserve">The Fund is a non-sophisticated user of </w:t>
      </w:r>
      <w:r w:rsidR="000E77B7" w:rsidRPr="00414889">
        <w:rPr>
          <w:szCs w:val="24"/>
          <w:lang w:val="en-US"/>
        </w:rPr>
        <w:t>FDI</w:t>
      </w:r>
      <w:r w:rsidRPr="00414889">
        <w:rPr>
          <w:szCs w:val="24"/>
          <w:lang w:val="en-US"/>
        </w:rPr>
        <w:t>, whereby the Fund will only use a limited number of derivative instruments for efficient portfolio management.</w:t>
      </w:r>
    </w:p>
    <w:p w14:paraId="765DEB00" w14:textId="77777777" w:rsidR="008142B8" w:rsidRPr="008142B8" w:rsidRDefault="008142B8" w:rsidP="008142B8">
      <w:pPr>
        <w:rPr>
          <w:lang w:val="en-US"/>
        </w:rPr>
      </w:pPr>
    </w:p>
    <w:p w14:paraId="54831D27" w14:textId="6F190E34" w:rsidR="002E152F" w:rsidRPr="00576E24" w:rsidRDefault="007215DD" w:rsidP="00921555">
      <w:pPr>
        <w:spacing w:after="240"/>
      </w:pPr>
      <w:r w:rsidRPr="00414889">
        <w:rPr>
          <w:szCs w:val="24"/>
          <w:lang w:val="en-US"/>
        </w:rPr>
        <w:t xml:space="preserve">The Fund will use the Commitment Approach to calculate the global exposure generated through the use of </w:t>
      </w:r>
      <w:r w:rsidR="00751972" w:rsidRPr="00414889">
        <w:rPr>
          <w:szCs w:val="24"/>
          <w:lang w:val="en-US"/>
        </w:rPr>
        <w:t>FDI</w:t>
      </w:r>
      <w:r w:rsidR="008F219F">
        <w:rPr>
          <w:szCs w:val="24"/>
          <w:lang w:val="en-US"/>
        </w:rPr>
        <w:t xml:space="preserve"> as part of the Manager’s</w:t>
      </w:r>
      <w:r w:rsidRPr="00414889">
        <w:rPr>
          <w:szCs w:val="24"/>
          <w:lang w:val="en-US"/>
        </w:rPr>
        <w:t xml:space="preserve"> risk management process</w:t>
      </w:r>
      <w:r w:rsidR="002E152F" w:rsidRPr="00414889">
        <w:rPr>
          <w:szCs w:val="24"/>
          <w:lang w:val="en-US"/>
        </w:rPr>
        <w:t xml:space="preserve"> (which is designed to monitor and manage risk associated with the use of </w:t>
      </w:r>
      <w:r w:rsidR="00751972" w:rsidRPr="00414889">
        <w:rPr>
          <w:szCs w:val="24"/>
          <w:lang w:val="en-US"/>
        </w:rPr>
        <w:t>FDI</w:t>
      </w:r>
      <w:r w:rsidR="002E152F" w:rsidRPr="00414889">
        <w:rPr>
          <w:szCs w:val="24"/>
          <w:lang w:val="en-US"/>
        </w:rPr>
        <w:t>)</w:t>
      </w:r>
      <w:r w:rsidRPr="00414889">
        <w:rPr>
          <w:szCs w:val="24"/>
          <w:lang w:val="en-US"/>
        </w:rPr>
        <w:t>.</w:t>
      </w:r>
      <w:r w:rsidRPr="00576E24">
        <w:t xml:space="preserve"> </w:t>
      </w:r>
    </w:p>
    <w:p w14:paraId="45024FFD" w14:textId="14E74B11" w:rsidR="007215DD" w:rsidRPr="00470248" w:rsidRDefault="007215DD" w:rsidP="00921555">
      <w:pPr>
        <w:spacing w:after="240"/>
        <w:rPr>
          <w:szCs w:val="24"/>
          <w:lang w:val="en-US"/>
        </w:rPr>
      </w:pPr>
      <w:r w:rsidRPr="00414889">
        <w:rPr>
          <w:szCs w:val="24"/>
          <w:lang w:val="en-US"/>
        </w:rPr>
        <w:t>The Fund’s resulting global exposure will not exceed its total net assets, i.e. the Fund may not be leveraged in excess of 100% of its Net Asset Value, through the use of financial derivative instruments.</w:t>
      </w:r>
      <w:r w:rsidR="00CB3177" w:rsidRPr="00414889">
        <w:rPr>
          <w:szCs w:val="24"/>
          <w:lang w:val="en-US"/>
        </w:rPr>
        <w:t xml:space="preserve"> </w:t>
      </w:r>
      <w:r w:rsidR="00CB3177" w:rsidRPr="00414889">
        <w:lastRenderedPageBreak/>
        <w:t>The maximum total exposure will be 200% (comprising 100% of the Net Asset Value of the Fund and 100% exposure thro</w:t>
      </w:r>
      <w:r w:rsidR="00932ACE">
        <w:t>ugh its investment in FDI). The I</w:t>
      </w:r>
      <w:r w:rsidR="00CB3177" w:rsidRPr="00414889">
        <w:t xml:space="preserve">nvestment Manager does not intend that the Fund will invest significantly in FDI and it is intended that any such investment in FDI would </w:t>
      </w:r>
      <w:r w:rsidR="00121DB1" w:rsidRPr="00414889">
        <w:t xml:space="preserve">be short term and would </w:t>
      </w:r>
      <w:r w:rsidR="00CB3177" w:rsidRPr="00414889">
        <w:t>replicate the market exposure and volatility expected from investing directly in the underlying instrument.</w:t>
      </w:r>
    </w:p>
    <w:p w14:paraId="436FAB6A" w14:textId="77777777" w:rsidR="00662044" w:rsidRPr="00CB4D37" w:rsidRDefault="00121DB1" w:rsidP="00CB4D37">
      <w:pPr>
        <w:rPr>
          <w:rFonts w:eastAsia="SimSun"/>
          <w:b/>
          <w:sz w:val="22"/>
          <w:szCs w:val="22"/>
        </w:rPr>
      </w:pPr>
      <w:r w:rsidRPr="00CB4D37">
        <w:rPr>
          <w:rFonts w:eastAsia="SimSun"/>
          <w:b/>
          <w:sz w:val="22"/>
          <w:szCs w:val="22"/>
        </w:rPr>
        <w:t>I</w:t>
      </w:r>
      <w:r w:rsidR="00662044" w:rsidRPr="00CB4D37">
        <w:rPr>
          <w:rFonts w:eastAsia="SimSun"/>
          <w:b/>
          <w:sz w:val="22"/>
          <w:szCs w:val="22"/>
        </w:rPr>
        <w:t xml:space="preserve">nvestment Restrictions </w:t>
      </w:r>
    </w:p>
    <w:p w14:paraId="2E0FD8A7" w14:textId="77777777" w:rsidR="00662044" w:rsidRPr="00CB4D37" w:rsidRDefault="00662044" w:rsidP="00CB4D37">
      <w:pPr>
        <w:rPr>
          <w:rFonts w:eastAsia="SimSun"/>
          <w:b/>
          <w:sz w:val="22"/>
          <w:szCs w:val="22"/>
        </w:rPr>
      </w:pPr>
    </w:p>
    <w:p w14:paraId="30F73BA9" w14:textId="5685FE53" w:rsidR="00662044" w:rsidRDefault="00662044" w:rsidP="001B47EA">
      <w:r w:rsidRPr="00560292">
        <w:t>Please refer to the “Investment Restrictions” at Appendix D of the Prospectus for more information with regard to investment restrictions of the Fund.</w:t>
      </w:r>
      <w:r w:rsidRPr="00470248">
        <w:t xml:space="preserve"> </w:t>
      </w:r>
    </w:p>
    <w:p w14:paraId="748994FF" w14:textId="77777777" w:rsidR="009F63D8" w:rsidRDefault="009F63D8" w:rsidP="009F63D8">
      <w:pPr>
        <w:spacing w:line="276" w:lineRule="auto"/>
        <w:rPr>
          <w:b/>
          <w:szCs w:val="24"/>
          <w:lang w:val="en-US"/>
        </w:rPr>
      </w:pPr>
    </w:p>
    <w:p w14:paraId="7D8BEA4C" w14:textId="38464D15" w:rsidR="009F63D8" w:rsidRPr="00286601" w:rsidRDefault="009F63D8" w:rsidP="00286601">
      <w:pPr>
        <w:spacing w:line="276" w:lineRule="auto"/>
        <w:rPr>
          <w:rFonts w:eastAsia="SimSun"/>
          <w:b/>
          <w:sz w:val="22"/>
          <w:szCs w:val="22"/>
        </w:rPr>
      </w:pPr>
      <w:r w:rsidRPr="00A73182">
        <w:rPr>
          <w:rFonts w:eastAsia="SimSun"/>
          <w:b/>
          <w:sz w:val="22"/>
          <w:szCs w:val="22"/>
        </w:rPr>
        <w:t>Research Charges and Research Payment Accounts</w:t>
      </w:r>
    </w:p>
    <w:p w14:paraId="136B6EFF" w14:textId="55AA33A3" w:rsidR="009F63D8" w:rsidRPr="00664053" w:rsidRDefault="009F63D8" w:rsidP="009F63D8">
      <w:pPr>
        <w:spacing w:before="120" w:after="120"/>
        <w:rPr>
          <w:szCs w:val="24"/>
        </w:rPr>
      </w:pPr>
      <w:r w:rsidRPr="00664053">
        <w:rPr>
          <w:szCs w:val="24"/>
        </w:rPr>
        <w:t xml:space="preserve">The Company has agreed to pay Research Charges in respect of the </w:t>
      </w:r>
      <w:r>
        <w:rPr>
          <w:szCs w:val="24"/>
        </w:rPr>
        <w:t>Fund</w:t>
      </w:r>
      <w:r w:rsidRPr="00664053">
        <w:rPr>
          <w:szCs w:val="24"/>
        </w:rPr>
        <w:t xml:space="preserve"> into a Research Payment Account which will be used to purchase third party materials and services (“</w:t>
      </w:r>
      <w:r w:rsidRPr="00664053">
        <w:rPr>
          <w:b/>
          <w:szCs w:val="24"/>
        </w:rPr>
        <w:t>Research</w:t>
      </w:r>
      <w:r w:rsidRPr="00664053">
        <w:rPr>
          <w:szCs w:val="24"/>
        </w:rPr>
        <w:t xml:space="preserve">”) on behalf of the </w:t>
      </w:r>
      <w:r>
        <w:rPr>
          <w:szCs w:val="24"/>
        </w:rPr>
        <w:t>Fund</w:t>
      </w:r>
      <w:r w:rsidRPr="00664053">
        <w:rPr>
          <w:szCs w:val="24"/>
        </w:rPr>
        <w:t xml:space="preserve">. </w:t>
      </w:r>
      <w:r>
        <w:rPr>
          <w:szCs w:val="24"/>
        </w:rPr>
        <w:t>Details of the total Research Charges paid in respect of the Fund will be disclosed in the annual report of the Company.</w:t>
      </w:r>
    </w:p>
    <w:p w14:paraId="1B8DE2BD" w14:textId="3BB099DF" w:rsidR="009F63D8" w:rsidRDefault="009F63D8" w:rsidP="009F63D8">
      <w:pPr>
        <w:spacing w:before="120" w:after="120"/>
        <w:rPr>
          <w:szCs w:val="24"/>
        </w:rPr>
      </w:pPr>
      <w:r w:rsidRPr="00664053">
        <w:rPr>
          <w:szCs w:val="24"/>
        </w:rPr>
        <w:t xml:space="preserve">Further information in relation to the operation of the Research Payment Account, including the research budget agreed in respect of a given period is set out in full on the Investment Manager’s website at </w:t>
      </w:r>
      <w:hyperlink r:id="rId19" w:history="1">
        <w:r w:rsidRPr="00FF32F9">
          <w:rPr>
            <w:rStyle w:val="Hyperlink"/>
            <w:szCs w:val="24"/>
          </w:rPr>
          <w:t>www.pacificam.co.uk</w:t>
        </w:r>
      </w:hyperlink>
      <w:r>
        <w:rPr>
          <w:szCs w:val="24"/>
        </w:rPr>
        <w:t>.</w:t>
      </w:r>
    </w:p>
    <w:p w14:paraId="7A42ECF6" w14:textId="77777777" w:rsidR="009F63D8" w:rsidRPr="00470248" w:rsidRDefault="009F63D8" w:rsidP="001B47EA"/>
    <w:p w14:paraId="00EBC40B" w14:textId="77777777" w:rsidR="001663D8" w:rsidRDefault="001663D8" w:rsidP="001663D8">
      <w:pPr>
        <w:spacing w:line="276" w:lineRule="auto"/>
        <w:rPr>
          <w:rFonts w:eastAsia="SimSun"/>
          <w:b/>
          <w:sz w:val="22"/>
          <w:szCs w:val="22"/>
        </w:rPr>
      </w:pPr>
      <w:r>
        <w:rPr>
          <w:rFonts w:eastAsia="SimSun"/>
          <w:b/>
          <w:sz w:val="22"/>
          <w:szCs w:val="22"/>
        </w:rPr>
        <w:t xml:space="preserve">Sustainable Finance </w:t>
      </w:r>
      <w:r w:rsidRPr="00F12A08">
        <w:rPr>
          <w:rFonts w:eastAsia="SimSun"/>
          <w:b/>
          <w:sz w:val="22"/>
          <w:szCs w:val="22"/>
        </w:rPr>
        <w:t xml:space="preserve">Disclosures </w:t>
      </w:r>
    </w:p>
    <w:p w14:paraId="700F8E90" w14:textId="77777777" w:rsidR="006975B0" w:rsidRDefault="006975B0" w:rsidP="006975B0">
      <w:pPr>
        <w:spacing w:line="276" w:lineRule="auto"/>
        <w:rPr>
          <w:rFonts w:eastAsia="SimSun"/>
          <w:b/>
          <w:sz w:val="22"/>
          <w:szCs w:val="22"/>
        </w:rPr>
      </w:pPr>
    </w:p>
    <w:p w14:paraId="1FDD2353" w14:textId="77777777" w:rsidR="006975B0" w:rsidRDefault="006975B0" w:rsidP="006975B0">
      <w:pPr>
        <w:spacing w:line="276" w:lineRule="auto"/>
        <w:rPr>
          <w:rFonts w:eastAsia="SimSun"/>
          <w:b/>
          <w:i/>
          <w:sz w:val="22"/>
          <w:szCs w:val="22"/>
        </w:rPr>
      </w:pPr>
      <w:r>
        <w:rPr>
          <w:rFonts w:eastAsia="SimSun"/>
          <w:b/>
          <w:i/>
          <w:sz w:val="22"/>
          <w:szCs w:val="22"/>
        </w:rPr>
        <w:t>Article 4 of SFDR</w:t>
      </w:r>
    </w:p>
    <w:p w14:paraId="01A0E81F" w14:textId="77777777" w:rsidR="006975B0" w:rsidRPr="008C11AA" w:rsidRDefault="006975B0" w:rsidP="006975B0">
      <w:pPr>
        <w:spacing w:line="276" w:lineRule="auto"/>
        <w:rPr>
          <w:rFonts w:eastAsia="SimSun"/>
          <w:sz w:val="22"/>
          <w:szCs w:val="22"/>
        </w:rPr>
      </w:pPr>
    </w:p>
    <w:p w14:paraId="2FA3EDD8" w14:textId="010427C1" w:rsidR="005477A7" w:rsidRDefault="006975B0" w:rsidP="006975B0">
      <w:pPr>
        <w:pStyle w:val="BodyText"/>
        <w:rPr>
          <w:rFonts w:eastAsia="SimSun"/>
          <w:szCs w:val="20"/>
        </w:rPr>
      </w:pPr>
      <w:r>
        <w:rPr>
          <w:rFonts w:eastAsia="SimSun"/>
          <w:szCs w:val="20"/>
        </w:rPr>
        <w:t xml:space="preserve">In accordance with the discretion granted pursuant to Article 4(1)(b) of SFDR, the </w:t>
      </w:r>
      <w:r w:rsidR="00840358">
        <w:rPr>
          <w:rFonts w:eastAsia="SimSun"/>
          <w:szCs w:val="20"/>
        </w:rPr>
        <w:t xml:space="preserve">Manager </w:t>
      </w:r>
      <w:r>
        <w:rPr>
          <w:rFonts w:eastAsia="SimSun"/>
          <w:szCs w:val="20"/>
        </w:rPr>
        <w:t xml:space="preserve">does not currently consider the </w:t>
      </w:r>
      <w:r w:rsidR="001615F0">
        <w:rPr>
          <w:rFonts w:eastAsia="SimSun"/>
          <w:szCs w:val="20"/>
        </w:rPr>
        <w:t xml:space="preserve">PAIs </w:t>
      </w:r>
      <w:r>
        <w:rPr>
          <w:rFonts w:eastAsia="SimSun"/>
          <w:szCs w:val="20"/>
        </w:rPr>
        <w:t>of investment decisions on sustainability factors or issue a statement on its website</w:t>
      </w:r>
      <w:r w:rsidR="006A7A13">
        <w:rPr>
          <w:rFonts w:eastAsia="SimSun"/>
          <w:szCs w:val="20"/>
        </w:rPr>
        <w:t xml:space="preserve">, </w:t>
      </w:r>
      <w:r>
        <w:rPr>
          <w:rFonts w:eastAsia="SimSun"/>
          <w:szCs w:val="20"/>
        </w:rPr>
        <w:t>in relation to the due diligence policies with respect to those impacts</w:t>
      </w:r>
      <w:r w:rsidR="006A7A13">
        <w:rPr>
          <w:rFonts w:eastAsia="SimSun"/>
          <w:szCs w:val="20"/>
        </w:rPr>
        <w:t xml:space="preserve"> (either generally at the level of the Manager or specifically in </w:t>
      </w:r>
      <w:r w:rsidR="00C8710E">
        <w:rPr>
          <w:rFonts w:eastAsia="SimSun"/>
          <w:szCs w:val="20"/>
        </w:rPr>
        <w:t xml:space="preserve">respect </w:t>
      </w:r>
      <w:r w:rsidR="006A7A13">
        <w:rPr>
          <w:rFonts w:eastAsia="SimSun"/>
          <w:szCs w:val="20"/>
        </w:rPr>
        <w:t>of the Fund)</w:t>
      </w:r>
      <w:r>
        <w:rPr>
          <w:rFonts w:eastAsia="SimSun"/>
          <w:szCs w:val="20"/>
        </w:rPr>
        <w:t xml:space="preserve">. </w:t>
      </w:r>
      <w:r w:rsidR="009D3B2A">
        <w:rPr>
          <w:rFonts w:eastAsia="SimSun"/>
          <w:szCs w:val="20"/>
        </w:rPr>
        <w:t xml:space="preserve"> </w:t>
      </w:r>
      <w:r w:rsidR="005477A7">
        <w:rPr>
          <w:rFonts w:eastAsia="SimSun"/>
          <w:szCs w:val="20"/>
        </w:rPr>
        <w:t>This</w:t>
      </w:r>
      <w:r w:rsidR="009D3B2A">
        <w:rPr>
          <w:rFonts w:eastAsia="SimSun"/>
          <w:szCs w:val="20"/>
        </w:rPr>
        <w:t xml:space="preserve"> is due to the lack of information and data available to adequatel</w:t>
      </w:r>
      <w:r w:rsidR="00C8710E">
        <w:rPr>
          <w:rFonts w:eastAsia="SimSun"/>
          <w:szCs w:val="20"/>
        </w:rPr>
        <w:t>y assess the full range of</w:t>
      </w:r>
      <w:r w:rsidR="009D3B2A">
        <w:rPr>
          <w:rFonts w:eastAsia="SimSun"/>
          <w:szCs w:val="20"/>
        </w:rPr>
        <w:t xml:space="preserve"> adverse </w:t>
      </w:r>
      <w:r w:rsidR="005477A7">
        <w:rPr>
          <w:rFonts w:eastAsia="SimSun"/>
          <w:szCs w:val="20"/>
        </w:rPr>
        <w:t>impacts</w:t>
      </w:r>
      <w:r w:rsidR="006A7A13">
        <w:rPr>
          <w:rFonts w:eastAsia="SimSun"/>
          <w:szCs w:val="20"/>
        </w:rPr>
        <w:t>, the nature and scale of the Manager's activities and the wide and varied range of financial products which it makes available</w:t>
      </w:r>
      <w:r w:rsidR="005477A7">
        <w:rPr>
          <w:rFonts w:eastAsia="SimSun"/>
          <w:szCs w:val="20"/>
        </w:rPr>
        <w:t>.  The Manager will continue to review i</w:t>
      </w:r>
      <w:r w:rsidR="00CC45B7">
        <w:rPr>
          <w:rFonts w:eastAsia="SimSun"/>
          <w:szCs w:val="20"/>
        </w:rPr>
        <w:t>t</w:t>
      </w:r>
      <w:r w:rsidR="005477A7">
        <w:rPr>
          <w:rFonts w:eastAsia="SimSun"/>
          <w:szCs w:val="20"/>
        </w:rPr>
        <w:t>s position in relation to the consideration and publication of adverse impacts and, if it determines at a future date to provide such information, this Supplement and the Manager's website shall be updated accordingly.</w:t>
      </w:r>
    </w:p>
    <w:p w14:paraId="17B896B1" w14:textId="6C19EC73" w:rsidR="00E0574F" w:rsidRPr="00F742EE" w:rsidRDefault="001615F0" w:rsidP="00F742EE">
      <w:pPr>
        <w:pStyle w:val="BodyText"/>
        <w:rPr>
          <w:rFonts w:eastAsia="SimSun"/>
          <w:szCs w:val="20"/>
        </w:rPr>
      </w:pPr>
      <w:r>
        <w:rPr>
          <w:rFonts w:eastAsia="SimSun"/>
          <w:szCs w:val="20"/>
        </w:rPr>
        <w:t xml:space="preserve">Similarly, the Investment Manager and the ICAV do not consider </w:t>
      </w:r>
      <w:r w:rsidR="001F31B6">
        <w:rPr>
          <w:rFonts w:eastAsia="SimSun"/>
          <w:szCs w:val="20"/>
        </w:rPr>
        <w:t xml:space="preserve">the full range of </w:t>
      </w:r>
      <w:r>
        <w:rPr>
          <w:rFonts w:eastAsia="SimSun"/>
          <w:szCs w:val="20"/>
        </w:rPr>
        <w:t>adverse impacts of investment decisions at entity level</w:t>
      </w:r>
      <w:r w:rsidR="001F31B6">
        <w:rPr>
          <w:rFonts w:eastAsia="SimSun"/>
          <w:szCs w:val="20"/>
        </w:rPr>
        <w:t xml:space="preserve"> or in respect of the Fund</w:t>
      </w:r>
      <w:r>
        <w:rPr>
          <w:rFonts w:eastAsia="SimSun"/>
          <w:szCs w:val="20"/>
        </w:rPr>
        <w:t>, although as noted above and described in the Sustainability Annex</w:t>
      </w:r>
      <w:r w:rsidR="001F703C">
        <w:rPr>
          <w:rFonts w:eastAsia="SimSun"/>
          <w:szCs w:val="20"/>
        </w:rPr>
        <w:t>,</w:t>
      </w:r>
      <w:r>
        <w:rPr>
          <w:rFonts w:eastAsia="SimSun"/>
          <w:szCs w:val="20"/>
        </w:rPr>
        <w:t xml:space="preserve"> the Investment Manager will have regard </w:t>
      </w:r>
      <w:r w:rsidR="005477A7">
        <w:rPr>
          <w:rFonts w:eastAsia="SimSun"/>
          <w:szCs w:val="20"/>
        </w:rPr>
        <w:t xml:space="preserve">to some, but not all, PAIs as a mechanism to (a) </w:t>
      </w:r>
      <w:r w:rsidR="005477A7" w:rsidRPr="005477A7">
        <w:rPr>
          <w:rFonts w:eastAsia="SimSun"/>
          <w:szCs w:val="20"/>
        </w:rPr>
        <w:t xml:space="preserve">measure and test the environmental and social </w:t>
      </w:r>
      <w:r w:rsidR="005477A7">
        <w:rPr>
          <w:rFonts w:eastAsia="SimSun"/>
          <w:szCs w:val="20"/>
        </w:rPr>
        <w:t xml:space="preserve">characteristics of investments and (b) analyse </w:t>
      </w:r>
      <w:r w:rsidR="005477A7" w:rsidRPr="005477A7">
        <w:rPr>
          <w:rFonts w:eastAsia="SimSun"/>
          <w:szCs w:val="20"/>
        </w:rPr>
        <w:t xml:space="preserve">the potential negative impact of underlying investments on </w:t>
      </w:r>
      <w:r w:rsidR="005477A7">
        <w:rPr>
          <w:rFonts w:eastAsia="SimSun"/>
          <w:szCs w:val="20"/>
        </w:rPr>
        <w:t>certain environmental or social objectives.</w:t>
      </w:r>
    </w:p>
    <w:p w14:paraId="518C4536" w14:textId="77777777" w:rsidR="006975B0" w:rsidRDefault="006975B0" w:rsidP="006975B0">
      <w:pPr>
        <w:pStyle w:val="BodyText"/>
        <w:rPr>
          <w:rFonts w:eastAsia="SimSun"/>
          <w:b/>
          <w:i/>
          <w:sz w:val="22"/>
          <w:szCs w:val="22"/>
        </w:rPr>
      </w:pPr>
      <w:r>
        <w:rPr>
          <w:rFonts w:eastAsia="SimSun"/>
          <w:b/>
          <w:i/>
          <w:sz w:val="22"/>
          <w:szCs w:val="22"/>
        </w:rPr>
        <w:t>Article 6 of SFDR</w:t>
      </w:r>
    </w:p>
    <w:p w14:paraId="0D481471" w14:textId="244EF16C" w:rsidR="006975B0" w:rsidRDefault="006975B0" w:rsidP="006975B0">
      <w:pPr>
        <w:spacing w:after="240"/>
        <w:rPr>
          <w:szCs w:val="24"/>
          <w:lang w:val="en-US"/>
        </w:rPr>
      </w:pPr>
      <w:r>
        <w:rPr>
          <w:szCs w:val="24"/>
          <w:lang w:val="en-US"/>
        </w:rPr>
        <w:t>In accordance</w:t>
      </w:r>
      <w:r w:rsidR="001663D8">
        <w:rPr>
          <w:szCs w:val="24"/>
          <w:lang w:val="en-US"/>
        </w:rPr>
        <w:t xml:space="preserve"> with Article 6 of SFDR the Company and the Manager are</w:t>
      </w:r>
      <w:r>
        <w:rPr>
          <w:szCs w:val="24"/>
          <w:lang w:val="en-US"/>
        </w:rPr>
        <w:t xml:space="preserve"> obliged to disclose (a) </w:t>
      </w:r>
      <w:r w:rsidRPr="00CE2F8F">
        <w:rPr>
          <w:szCs w:val="24"/>
          <w:lang w:val="en-US"/>
        </w:rPr>
        <w:t>the manner in which sustainability risks are integrated into investment decisions; and</w:t>
      </w:r>
      <w:r>
        <w:rPr>
          <w:szCs w:val="24"/>
          <w:lang w:val="en-US"/>
        </w:rPr>
        <w:t xml:space="preserve"> </w:t>
      </w:r>
      <w:r w:rsidRPr="00CE2F8F">
        <w:rPr>
          <w:szCs w:val="24"/>
          <w:lang w:val="en-US"/>
        </w:rPr>
        <w:t>(b) the results of the assessment of the likely impacts of sustainability risks on the returns of the</w:t>
      </w:r>
      <w:r>
        <w:rPr>
          <w:szCs w:val="24"/>
          <w:lang w:val="en-US"/>
        </w:rPr>
        <w:t xml:space="preserve"> Fund</w:t>
      </w:r>
      <w:r w:rsidRPr="00CE2F8F">
        <w:rPr>
          <w:szCs w:val="24"/>
          <w:lang w:val="en-US"/>
        </w:rPr>
        <w:t>.</w:t>
      </w:r>
    </w:p>
    <w:p w14:paraId="2144F524" w14:textId="77777777" w:rsidR="006975B0" w:rsidRPr="0056254F" w:rsidRDefault="006975B0" w:rsidP="006975B0">
      <w:pPr>
        <w:spacing w:after="240"/>
        <w:rPr>
          <w:i/>
          <w:szCs w:val="24"/>
          <w:lang w:val="en-US"/>
        </w:rPr>
      </w:pPr>
      <w:r w:rsidRPr="0056254F">
        <w:rPr>
          <w:i/>
          <w:szCs w:val="24"/>
          <w:lang w:val="en-US"/>
        </w:rPr>
        <w:t>Integration of Sustainability Risks</w:t>
      </w:r>
    </w:p>
    <w:p w14:paraId="6D7D217E" w14:textId="77777777" w:rsidR="006975B0" w:rsidRPr="0056254F" w:rsidRDefault="006975B0" w:rsidP="006975B0">
      <w:pPr>
        <w:spacing w:after="240"/>
        <w:rPr>
          <w:szCs w:val="24"/>
          <w:lang w:val="en-US"/>
        </w:rPr>
      </w:pPr>
      <w:r>
        <w:rPr>
          <w:szCs w:val="24"/>
          <w:lang w:val="en-US"/>
        </w:rPr>
        <w:t xml:space="preserve">The Investment Manager </w:t>
      </w:r>
      <w:r w:rsidRPr="0056254F">
        <w:rPr>
          <w:szCs w:val="24"/>
          <w:lang w:val="en-US"/>
        </w:rPr>
        <w:t>holds the following bel</w:t>
      </w:r>
      <w:r>
        <w:rPr>
          <w:szCs w:val="24"/>
          <w:lang w:val="en-US"/>
        </w:rPr>
        <w:t>iefs relating to sustainable investing</w:t>
      </w:r>
    </w:p>
    <w:p w14:paraId="747AE08C" w14:textId="77777777" w:rsidR="006975B0" w:rsidRPr="0056254F" w:rsidRDefault="006975B0" w:rsidP="00A42DEF">
      <w:pPr>
        <w:numPr>
          <w:ilvl w:val="0"/>
          <w:numId w:val="23"/>
        </w:numPr>
        <w:spacing w:after="240"/>
        <w:ind w:left="709" w:hanging="709"/>
        <w:rPr>
          <w:szCs w:val="24"/>
          <w:lang w:val="en-US"/>
        </w:rPr>
      </w:pPr>
      <w:r w:rsidRPr="0056254F">
        <w:rPr>
          <w:szCs w:val="24"/>
          <w:lang w:val="en-US"/>
        </w:rPr>
        <w:t>Sustainability issues are sources of long-term risk an</w:t>
      </w:r>
      <w:r>
        <w:rPr>
          <w:szCs w:val="24"/>
          <w:lang w:val="en-US"/>
        </w:rPr>
        <w:t>d return, therefore the application of the ESG criteria as outlined in the section above titled “</w:t>
      </w:r>
      <w:r>
        <w:rPr>
          <w:i/>
          <w:szCs w:val="24"/>
          <w:lang w:val="en-US"/>
        </w:rPr>
        <w:t xml:space="preserve">Investment Strategy – Application of ESG Criteria” </w:t>
      </w:r>
      <w:r>
        <w:rPr>
          <w:szCs w:val="24"/>
          <w:lang w:val="en-US"/>
        </w:rPr>
        <w:t xml:space="preserve"> </w:t>
      </w:r>
      <w:r w:rsidRPr="0056254F">
        <w:rPr>
          <w:szCs w:val="24"/>
          <w:lang w:val="en-US"/>
        </w:rPr>
        <w:t xml:space="preserve">leads to better analyses and investment decisions. </w:t>
      </w:r>
    </w:p>
    <w:p w14:paraId="29054BC7" w14:textId="77777777" w:rsidR="006975B0" w:rsidRPr="0056254F" w:rsidRDefault="006975B0" w:rsidP="00A42DEF">
      <w:pPr>
        <w:numPr>
          <w:ilvl w:val="0"/>
          <w:numId w:val="23"/>
        </w:numPr>
        <w:spacing w:after="240"/>
        <w:ind w:left="709" w:hanging="709"/>
        <w:rPr>
          <w:szCs w:val="24"/>
          <w:lang w:val="en-US"/>
        </w:rPr>
      </w:pPr>
      <w:r w:rsidRPr="0056254F">
        <w:rPr>
          <w:szCs w:val="24"/>
          <w:lang w:val="en-US"/>
        </w:rPr>
        <w:t xml:space="preserve">The execution of ownership rights may increase performance and lower risk over time; </w:t>
      </w:r>
      <w:r>
        <w:rPr>
          <w:szCs w:val="24"/>
          <w:lang w:val="en-US"/>
        </w:rPr>
        <w:t xml:space="preserve">accordingly, in selecting investments on behalf of the Fund, the Investment Manager will seek </w:t>
      </w:r>
      <w:r>
        <w:rPr>
          <w:szCs w:val="24"/>
          <w:lang w:val="en-US"/>
        </w:rPr>
        <w:lastRenderedPageBreak/>
        <w:t xml:space="preserve">to encourage good governance through its voting in respect of such ownership right with the belief that this </w:t>
      </w:r>
      <w:r w:rsidRPr="0056254F">
        <w:rPr>
          <w:szCs w:val="24"/>
          <w:lang w:val="en-US"/>
        </w:rPr>
        <w:t>should produce higher risk-adjusted returns over the long term.</w:t>
      </w:r>
    </w:p>
    <w:p w14:paraId="4B38E0F1" w14:textId="77777777" w:rsidR="006975B0" w:rsidRPr="0056254F" w:rsidRDefault="006975B0" w:rsidP="00A42DEF">
      <w:pPr>
        <w:numPr>
          <w:ilvl w:val="0"/>
          <w:numId w:val="23"/>
        </w:numPr>
        <w:spacing w:after="240"/>
        <w:ind w:left="709" w:hanging="709"/>
        <w:rPr>
          <w:szCs w:val="24"/>
          <w:lang w:val="en-US"/>
        </w:rPr>
      </w:pPr>
      <w:r w:rsidRPr="0056254F">
        <w:rPr>
          <w:szCs w:val="24"/>
          <w:lang w:val="en-US"/>
        </w:rPr>
        <w:t xml:space="preserve">Integrating and assessing </w:t>
      </w:r>
      <w:r>
        <w:rPr>
          <w:szCs w:val="24"/>
          <w:lang w:val="en-US"/>
        </w:rPr>
        <w:t xml:space="preserve">the ESG criteria </w:t>
      </w:r>
      <w:r w:rsidRPr="0056254F">
        <w:rPr>
          <w:szCs w:val="24"/>
          <w:lang w:val="en-US"/>
        </w:rPr>
        <w:t>enhances the quality of investment processes as sustainability issues, when poorly managed, will create long-term material adverse impacts for society, the environment and undermine investment returns.</w:t>
      </w:r>
    </w:p>
    <w:p w14:paraId="601A5A9C" w14:textId="378694C0" w:rsidR="006975B0" w:rsidRPr="0056254F" w:rsidRDefault="002D79E0" w:rsidP="00A42DEF">
      <w:pPr>
        <w:numPr>
          <w:ilvl w:val="0"/>
          <w:numId w:val="23"/>
        </w:numPr>
        <w:spacing w:after="240"/>
        <w:ind w:left="709" w:hanging="709"/>
        <w:rPr>
          <w:szCs w:val="24"/>
          <w:lang w:val="en-US"/>
        </w:rPr>
      </w:pPr>
      <w:r>
        <w:rPr>
          <w:szCs w:val="24"/>
          <w:lang w:val="en-US"/>
        </w:rPr>
        <w:t>Accordingly,</w:t>
      </w:r>
      <w:r w:rsidR="006975B0">
        <w:rPr>
          <w:szCs w:val="24"/>
          <w:lang w:val="en-US"/>
        </w:rPr>
        <w:t xml:space="preserve"> </w:t>
      </w:r>
      <w:r w:rsidR="006975B0" w:rsidRPr="0056254F">
        <w:rPr>
          <w:szCs w:val="24"/>
          <w:lang w:val="en-US"/>
        </w:rPr>
        <w:t>investment decision</w:t>
      </w:r>
      <w:r w:rsidR="006975B0">
        <w:rPr>
          <w:szCs w:val="24"/>
          <w:lang w:val="en-US"/>
        </w:rPr>
        <w:t xml:space="preserve">s </w:t>
      </w:r>
      <w:r w:rsidR="006975B0" w:rsidRPr="0056254F">
        <w:rPr>
          <w:szCs w:val="24"/>
          <w:lang w:val="en-US"/>
        </w:rPr>
        <w:t>made by the Investment Manager includes an assessment of relevant sustainability and governance risks</w:t>
      </w:r>
      <w:r w:rsidR="006975B0">
        <w:rPr>
          <w:szCs w:val="24"/>
          <w:lang w:val="en-US"/>
        </w:rPr>
        <w:t xml:space="preserve"> against the ESG criteria </w:t>
      </w:r>
      <w:r w:rsidR="006975B0" w:rsidRPr="0056254F">
        <w:rPr>
          <w:szCs w:val="24"/>
          <w:lang w:val="en-US"/>
        </w:rPr>
        <w:t xml:space="preserve">and the results of this assessment process is documented. </w:t>
      </w:r>
    </w:p>
    <w:p w14:paraId="6E130370" w14:textId="77777777" w:rsidR="006975B0" w:rsidRPr="0009374D" w:rsidRDefault="006975B0" w:rsidP="00A42DEF">
      <w:pPr>
        <w:numPr>
          <w:ilvl w:val="0"/>
          <w:numId w:val="23"/>
        </w:numPr>
        <w:spacing w:after="240"/>
        <w:ind w:left="709" w:hanging="709"/>
        <w:rPr>
          <w:szCs w:val="24"/>
          <w:lang w:val="en-US"/>
        </w:rPr>
      </w:pPr>
      <w:r w:rsidRPr="0056254F">
        <w:rPr>
          <w:szCs w:val="24"/>
          <w:lang w:val="en-US"/>
        </w:rPr>
        <w:t xml:space="preserve">Sustainability issues that are relevant at both an operational level (e.g. pollution, human capital management) and at a strategic level (e.g. resource constraints, regulatory change) are considered in the investment analysis.  </w:t>
      </w:r>
    </w:p>
    <w:p w14:paraId="6A77C7B0" w14:textId="77777777" w:rsidR="006975B0" w:rsidRPr="0056254F" w:rsidRDefault="006975B0" w:rsidP="006975B0">
      <w:pPr>
        <w:spacing w:after="240"/>
        <w:rPr>
          <w:szCs w:val="24"/>
          <w:lang w:val="en-US"/>
        </w:rPr>
      </w:pPr>
      <w:r w:rsidRPr="0056254F">
        <w:rPr>
          <w:szCs w:val="24"/>
          <w:lang w:val="en-US"/>
        </w:rPr>
        <w:t xml:space="preserve">Sustainability risk and governance information and data is sourced from in house analysis, from direct engagement and interaction with </w:t>
      </w:r>
      <w:r>
        <w:rPr>
          <w:szCs w:val="24"/>
          <w:lang w:val="en-US"/>
        </w:rPr>
        <w:t>companies and other issuer</w:t>
      </w:r>
      <w:r w:rsidRPr="0056254F">
        <w:rPr>
          <w:szCs w:val="24"/>
          <w:lang w:val="en-US"/>
        </w:rPr>
        <w:t>s, and from third parties.</w:t>
      </w:r>
    </w:p>
    <w:p w14:paraId="5891012B" w14:textId="77777777" w:rsidR="00EF071D" w:rsidRDefault="006975B0" w:rsidP="006975B0">
      <w:pPr>
        <w:spacing w:after="240"/>
        <w:rPr>
          <w:i/>
          <w:szCs w:val="24"/>
          <w:lang w:val="en-US"/>
        </w:rPr>
      </w:pPr>
      <w:r w:rsidRPr="0009374D">
        <w:rPr>
          <w:i/>
          <w:szCs w:val="24"/>
          <w:lang w:val="en-US"/>
        </w:rPr>
        <w:t>Likely impact on returns</w:t>
      </w:r>
    </w:p>
    <w:p w14:paraId="0047E8FC" w14:textId="246BD9D8" w:rsidR="00D32EB8" w:rsidRDefault="006975B0" w:rsidP="006975B0">
      <w:pPr>
        <w:spacing w:after="240"/>
        <w:rPr>
          <w:szCs w:val="24"/>
          <w:lang w:val="en-US"/>
        </w:rPr>
      </w:pPr>
      <w:r>
        <w:rPr>
          <w:szCs w:val="24"/>
          <w:lang w:val="en-US"/>
        </w:rPr>
        <w:t xml:space="preserve">The failure to comply with one or more of the ESG criteria </w:t>
      </w:r>
      <w:r w:rsidRPr="0056254F">
        <w:rPr>
          <w:szCs w:val="24"/>
          <w:lang w:val="en-US"/>
        </w:rPr>
        <w:t xml:space="preserve">can lead to </w:t>
      </w:r>
      <w:r>
        <w:rPr>
          <w:szCs w:val="24"/>
          <w:lang w:val="en-US"/>
        </w:rPr>
        <w:t>a candidate which is otherwise eligible for investment being excluded from the</w:t>
      </w:r>
      <w:r w:rsidRPr="0056254F">
        <w:rPr>
          <w:szCs w:val="24"/>
          <w:lang w:val="en-US"/>
        </w:rPr>
        <w:t xml:space="preserve"> F</w:t>
      </w:r>
      <w:r>
        <w:rPr>
          <w:szCs w:val="24"/>
          <w:lang w:val="en-US"/>
        </w:rPr>
        <w:t xml:space="preserve">und’s investment universe. Potential investments are </w:t>
      </w:r>
      <w:r w:rsidRPr="0056254F">
        <w:rPr>
          <w:szCs w:val="24"/>
          <w:lang w:val="en-US"/>
        </w:rPr>
        <w:t xml:space="preserve">assessed </w:t>
      </w:r>
      <w:r>
        <w:rPr>
          <w:szCs w:val="24"/>
          <w:lang w:val="en-US"/>
        </w:rPr>
        <w:t xml:space="preserve">against the </w:t>
      </w:r>
      <w:r w:rsidR="0011657F">
        <w:rPr>
          <w:szCs w:val="24"/>
          <w:lang w:val="en-US"/>
        </w:rPr>
        <w:t>ESG c</w:t>
      </w:r>
      <w:r>
        <w:rPr>
          <w:szCs w:val="24"/>
          <w:lang w:val="en-US"/>
        </w:rPr>
        <w:t xml:space="preserve">riteria </w:t>
      </w:r>
      <w:r w:rsidRPr="0056254F">
        <w:rPr>
          <w:szCs w:val="24"/>
          <w:lang w:val="en-US"/>
        </w:rPr>
        <w:t xml:space="preserve">and, all else </w:t>
      </w:r>
      <w:r>
        <w:rPr>
          <w:szCs w:val="24"/>
          <w:lang w:val="en-US"/>
        </w:rPr>
        <w:t xml:space="preserve">being </w:t>
      </w:r>
      <w:r w:rsidRPr="0056254F">
        <w:rPr>
          <w:szCs w:val="24"/>
          <w:lang w:val="en-US"/>
        </w:rPr>
        <w:t xml:space="preserve">equal, a lower sustainability assessment </w:t>
      </w:r>
      <w:r>
        <w:rPr>
          <w:szCs w:val="24"/>
          <w:lang w:val="en-US"/>
        </w:rPr>
        <w:t xml:space="preserve">is seen as reducing longer term return expectations for that investment.  </w:t>
      </w:r>
    </w:p>
    <w:p w14:paraId="25FAEBA4" w14:textId="5A5BE492" w:rsidR="006F2DF1" w:rsidRPr="00FC54CD" w:rsidRDefault="006975B0" w:rsidP="006975B0">
      <w:pPr>
        <w:spacing w:after="240"/>
        <w:rPr>
          <w:szCs w:val="24"/>
          <w:lang w:val="en-US"/>
        </w:rPr>
      </w:pPr>
      <w:r>
        <w:rPr>
          <w:szCs w:val="24"/>
          <w:lang w:val="en-US"/>
        </w:rPr>
        <w:t xml:space="preserve">The Investment Manager believes that sustainable and </w:t>
      </w:r>
      <w:r w:rsidRPr="0056254F">
        <w:rPr>
          <w:szCs w:val="24"/>
          <w:lang w:val="en-US"/>
        </w:rPr>
        <w:t>ESG issues im</w:t>
      </w:r>
      <w:r>
        <w:rPr>
          <w:szCs w:val="24"/>
          <w:lang w:val="en-US"/>
        </w:rPr>
        <w:t xml:space="preserve">pact investment value and that </w:t>
      </w:r>
      <w:r w:rsidRPr="0056254F">
        <w:rPr>
          <w:szCs w:val="24"/>
          <w:lang w:val="en-US"/>
        </w:rPr>
        <w:t>better long-term investment outcomes can be achieved through active engagement and by exercising the equity ownership rights held on behalf of clients.</w:t>
      </w:r>
      <w:r>
        <w:rPr>
          <w:szCs w:val="24"/>
          <w:lang w:val="en-US"/>
        </w:rPr>
        <w:t xml:space="preserve"> However, there is no guarantee that sustainable investing will ensure better returns in the longer term and may have better short to medium term results.  In particular, by limiting the Investment Universe of the Fund to investments which meet the ESG criteria, the Investment Manager may forego the opportunity to invest in an Underlying Fund or direct investment which it otherwise believes likely to outperform over time.</w:t>
      </w:r>
    </w:p>
    <w:p w14:paraId="21118990" w14:textId="77777777" w:rsidR="006975B0" w:rsidRDefault="006975B0" w:rsidP="006975B0">
      <w:pPr>
        <w:pStyle w:val="BodyText"/>
        <w:rPr>
          <w:rFonts w:eastAsia="SimSun"/>
          <w:b/>
          <w:i/>
          <w:sz w:val="22"/>
          <w:szCs w:val="22"/>
        </w:rPr>
      </w:pPr>
      <w:r>
        <w:rPr>
          <w:rFonts w:eastAsia="SimSun"/>
          <w:b/>
          <w:i/>
          <w:sz w:val="22"/>
          <w:szCs w:val="22"/>
        </w:rPr>
        <w:t>Article 8 of SFDR</w:t>
      </w:r>
    </w:p>
    <w:p w14:paraId="38D717A7" w14:textId="77777777" w:rsidR="006975B0" w:rsidRDefault="006975B0" w:rsidP="006975B0">
      <w:pPr>
        <w:spacing w:after="240"/>
        <w:rPr>
          <w:szCs w:val="24"/>
          <w:lang w:val="en-US"/>
        </w:rPr>
      </w:pPr>
      <w:r>
        <w:rPr>
          <w:szCs w:val="24"/>
          <w:lang w:val="en-US"/>
        </w:rPr>
        <w:t xml:space="preserve">In accordance with Article 8 of SFDR, any fund which </w:t>
      </w:r>
      <w:r w:rsidRPr="00DC5C17">
        <w:rPr>
          <w:szCs w:val="24"/>
          <w:lang w:val="en-US"/>
        </w:rPr>
        <w:t>promotes, among other characteristics, environmental or social characteristics, or a combination of those characteristics, provided that the companies in which the investments are made fo</w:t>
      </w:r>
      <w:r>
        <w:rPr>
          <w:szCs w:val="24"/>
          <w:lang w:val="en-US"/>
        </w:rPr>
        <w:t xml:space="preserve">llow good governance practices, in particular regarding sound management structures, employee relations, remuneration of staff and tax compliance, should include </w:t>
      </w:r>
      <w:r w:rsidRPr="00DC5C17">
        <w:rPr>
          <w:szCs w:val="24"/>
          <w:lang w:val="en-US"/>
        </w:rPr>
        <w:t>information on ho</w:t>
      </w:r>
      <w:r>
        <w:rPr>
          <w:szCs w:val="24"/>
          <w:lang w:val="en-US"/>
        </w:rPr>
        <w:t xml:space="preserve">w those characteristics are met.  </w:t>
      </w:r>
    </w:p>
    <w:p w14:paraId="2E5A28D3" w14:textId="25A291F3" w:rsidR="00453DC5" w:rsidRDefault="00054EC5" w:rsidP="006975B0">
      <w:pPr>
        <w:spacing w:after="240"/>
        <w:rPr>
          <w:szCs w:val="24"/>
        </w:rPr>
      </w:pPr>
      <w:r>
        <w:rPr>
          <w:szCs w:val="24"/>
          <w:lang w:val="en-US"/>
        </w:rPr>
        <w:t xml:space="preserve">The Investment Manager believes that the investment policy of the Fund shall promote </w:t>
      </w:r>
      <w:r w:rsidR="00E213A7">
        <w:rPr>
          <w:szCs w:val="24"/>
          <w:lang w:val="en-US"/>
        </w:rPr>
        <w:t xml:space="preserve">better </w:t>
      </w:r>
      <w:r w:rsidR="009631AD">
        <w:rPr>
          <w:szCs w:val="24"/>
          <w:lang w:val="en-US"/>
        </w:rPr>
        <w:t>environment</w:t>
      </w:r>
      <w:r w:rsidR="00E213A7">
        <w:rPr>
          <w:szCs w:val="24"/>
          <w:lang w:val="en-US"/>
        </w:rPr>
        <w:t>al conditions</w:t>
      </w:r>
      <w:r w:rsidR="009631AD">
        <w:rPr>
          <w:szCs w:val="24"/>
          <w:lang w:val="en-US"/>
        </w:rPr>
        <w:t xml:space="preserve"> and </w:t>
      </w:r>
      <w:r w:rsidR="00E213A7">
        <w:rPr>
          <w:szCs w:val="24"/>
          <w:lang w:val="en-US"/>
        </w:rPr>
        <w:t xml:space="preserve">enhanced </w:t>
      </w:r>
      <w:r w:rsidR="00D37A3B">
        <w:rPr>
          <w:szCs w:val="24"/>
          <w:lang w:val="en-US"/>
        </w:rPr>
        <w:t xml:space="preserve">water quality </w:t>
      </w:r>
      <w:r w:rsidR="00AC5977">
        <w:rPr>
          <w:szCs w:val="24"/>
          <w:lang w:val="en-US"/>
        </w:rPr>
        <w:t>by</w:t>
      </w:r>
      <w:r w:rsidR="00CA4729">
        <w:rPr>
          <w:szCs w:val="24"/>
          <w:lang w:val="en-US"/>
        </w:rPr>
        <w:t xml:space="preserve"> positive screening of </w:t>
      </w:r>
      <w:r w:rsidR="00AC5977">
        <w:rPr>
          <w:szCs w:val="24"/>
          <w:lang w:val="en-US"/>
        </w:rPr>
        <w:t xml:space="preserve"> target companies </w:t>
      </w:r>
      <w:r w:rsidR="00CA4729">
        <w:rPr>
          <w:szCs w:val="24"/>
          <w:lang w:val="en-US"/>
        </w:rPr>
        <w:t xml:space="preserve">against </w:t>
      </w:r>
      <w:r w:rsidR="00AC5977">
        <w:rPr>
          <w:szCs w:val="24"/>
          <w:lang w:val="en-US"/>
        </w:rPr>
        <w:t xml:space="preserve">such factors as </w:t>
      </w:r>
      <w:r w:rsidR="00453DC5" w:rsidRPr="00577BF5">
        <w:rPr>
          <w:szCs w:val="24"/>
        </w:rPr>
        <w:t>greenhouse gas emissions</w:t>
      </w:r>
      <w:r w:rsidR="00453DC5">
        <w:rPr>
          <w:szCs w:val="24"/>
        </w:rPr>
        <w:t>, the use of raw materials</w:t>
      </w:r>
      <w:r w:rsidR="00AC5977">
        <w:rPr>
          <w:szCs w:val="24"/>
        </w:rPr>
        <w:t xml:space="preserve">, </w:t>
      </w:r>
      <w:r w:rsidR="00453DC5">
        <w:rPr>
          <w:szCs w:val="24"/>
        </w:rPr>
        <w:t>contribution to the circular economy,</w:t>
      </w:r>
      <w:r w:rsidR="00453DC5" w:rsidRPr="00577BF5">
        <w:rPr>
          <w:szCs w:val="24"/>
        </w:rPr>
        <w:t xml:space="preserve"> </w:t>
      </w:r>
      <w:r w:rsidR="00453DC5">
        <w:rPr>
          <w:szCs w:val="24"/>
        </w:rPr>
        <w:t xml:space="preserve">the use of renewable energy, recycling, the use of water and land and the production of waste </w:t>
      </w:r>
      <w:r w:rsidR="00AC5977">
        <w:rPr>
          <w:szCs w:val="24"/>
        </w:rPr>
        <w:t xml:space="preserve">by target companies, both prior to investment and over the investment life-cycle. </w:t>
      </w:r>
    </w:p>
    <w:p w14:paraId="0FC76DF6" w14:textId="0BF75DD8" w:rsidR="00CA4729" w:rsidRDefault="00AC5977" w:rsidP="00693520">
      <w:pPr>
        <w:rPr>
          <w:szCs w:val="24"/>
        </w:rPr>
      </w:pPr>
      <w:r>
        <w:rPr>
          <w:szCs w:val="24"/>
          <w:lang w:val="en-US"/>
        </w:rPr>
        <w:t xml:space="preserve">The Investment Manager believes that the investment policy of the Fund shall promote </w:t>
      </w:r>
      <w:r w:rsidR="00D37A3B">
        <w:rPr>
          <w:szCs w:val="24"/>
          <w:lang w:val="en-US"/>
        </w:rPr>
        <w:t xml:space="preserve">better social conditions, equality in the workforce and greater social diversity and cohesion </w:t>
      </w:r>
      <w:r>
        <w:rPr>
          <w:szCs w:val="24"/>
          <w:lang w:val="en-US"/>
        </w:rPr>
        <w:t xml:space="preserve">by </w:t>
      </w:r>
      <w:r w:rsidR="00D37A3B">
        <w:rPr>
          <w:szCs w:val="24"/>
          <w:lang w:val="en-US"/>
        </w:rPr>
        <w:t xml:space="preserve">virtue of its </w:t>
      </w:r>
      <w:r w:rsidR="00CA4729">
        <w:rPr>
          <w:szCs w:val="24"/>
          <w:lang w:val="en-US"/>
        </w:rPr>
        <w:t xml:space="preserve">positive screening of </w:t>
      </w:r>
      <w:r w:rsidR="00693520">
        <w:rPr>
          <w:szCs w:val="24"/>
        </w:rPr>
        <w:t xml:space="preserve">potential investments against such factors as </w:t>
      </w:r>
      <w:r w:rsidR="00CA4729">
        <w:rPr>
          <w:szCs w:val="24"/>
        </w:rPr>
        <w:t>the target company’s commitment to t</w:t>
      </w:r>
      <w:r w:rsidR="00453DC5">
        <w:rPr>
          <w:szCs w:val="24"/>
        </w:rPr>
        <w:t xml:space="preserve">ackling inequality in pay and other </w:t>
      </w:r>
      <w:r w:rsidR="00866F5D">
        <w:rPr>
          <w:szCs w:val="24"/>
        </w:rPr>
        <w:t>respects</w:t>
      </w:r>
      <w:r w:rsidR="00453DC5">
        <w:rPr>
          <w:szCs w:val="24"/>
        </w:rPr>
        <w:t xml:space="preserve">, labour relations and employee wellbeing, investment in economically or socially disadvantaged communities, </w:t>
      </w:r>
      <w:r w:rsidR="00453DC5" w:rsidRPr="00577BF5">
        <w:rPr>
          <w:szCs w:val="24"/>
        </w:rPr>
        <w:t xml:space="preserve">board diversity, senior female management representation </w:t>
      </w:r>
      <w:r w:rsidR="00453DC5">
        <w:rPr>
          <w:szCs w:val="24"/>
        </w:rPr>
        <w:t>for the social characteristics</w:t>
      </w:r>
      <w:r w:rsidR="00453DC5" w:rsidRPr="00577BF5">
        <w:rPr>
          <w:szCs w:val="24"/>
        </w:rPr>
        <w:t xml:space="preserve">.  </w:t>
      </w:r>
    </w:p>
    <w:p w14:paraId="24E89ED7" w14:textId="77777777" w:rsidR="00CA4729" w:rsidRDefault="00CA4729" w:rsidP="00693520">
      <w:pPr>
        <w:rPr>
          <w:szCs w:val="24"/>
        </w:rPr>
      </w:pPr>
    </w:p>
    <w:p w14:paraId="59FDF90C" w14:textId="01C5CD5D" w:rsidR="00CA4729" w:rsidRDefault="00E271E5" w:rsidP="00693520">
      <w:pPr>
        <w:rPr>
          <w:szCs w:val="24"/>
        </w:rPr>
      </w:pPr>
      <w:r>
        <w:rPr>
          <w:szCs w:val="24"/>
        </w:rPr>
        <w:t>In addition to the abo</w:t>
      </w:r>
      <w:r w:rsidR="002C304B">
        <w:rPr>
          <w:szCs w:val="24"/>
        </w:rPr>
        <w:t>ve th</w:t>
      </w:r>
      <w:r>
        <w:rPr>
          <w:szCs w:val="24"/>
        </w:rPr>
        <w:t xml:space="preserve">e </w:t>
      </w:r>
      <w:r w:rsidR="00CA4729">
        <w:rPr>
          <w:szCs w:val="24"/>
        </w:rPr>
        <w:t xml:space="preserve">Fund shall also promote positive social characteristics by </w:t>
      </w:r>
      <w:r>
        <w:rPr>
          <w:szCs w:val="24"/>
        </w:rPr>
        <w:t xml:space="preserve">way of exclusionary screens by </w:t>
      </w:r>
      <w:r w:rsidR="00CA4729">
        <w:rPr>
          <w:szCs w:val="24"/>
        </w:rPr>
        <w:t>channelling investment away from (and hence raising the cost of fu</w:t>
      </w:r>
      <w:r w:rsidR="0031020F">
        <w:rPr>
          <w:szCs w:val="24"/>
        </w:rPr>
        <w:t>nding for) companies engaged in the production or manufacture of products</w:t>
      </w:r>
      <w:r w:rsidR="00016AC2">
        <w:rPr>
          <w:szCs w:val="24"/>
        </w:rPr>
        <w:t xml:space="preserve"> or in the provision of services</w:t>
      </w:r>
      <w:r w:rsidR="0031020F">
        <w:rPr>
          <w:szCs w:val="24"/>
        </w:rPr>
        <w:t xml:space="preserve"> which are harmful to which are harmful to </w:t>
      </w:r>
      <w:r w:rsidR="00346D93">
        <w:rPr>
          <w:szCs w:val="24"/>
        </w:rPr>
        <w:t xml:space="preserve">the </w:t>
      </w:r>
      <w:r w:rsidR="00866F5D">
        <w:rPr>
          <w:szCs w:val="24"/>
        </w:rPr>
        <w:t>environment</w:t>
      </w:r>
      <w:r w:rsidR="00346D93">
        <w:rPr>
          <w:szCs w:val="24"/>
        </w:rPr>
        <w:t xml:space="preserve"> (such as coal and oil extraction) or to </w:t>
      </w:r>
      <w:r w:rsidR="0031020F">
        <w:rPr>
          <w:szCs w:val="24"/>
        </w:rPr>
        <w:t>society</w:t>
      </w:r>
      <w:r w:rsidR="00B6694B">
        <w:rPr>
          <w:szCs w:val="24"/>
        </w:rPr>
        <w:t xml:space="preserve"> or health</w:t>
      </w:r>
      <w:r w:rsidR="0031020F">
        <w:rPr>
          <w:szCs w:val="24"/>
        </w:rPr>
        <w:t xml:space="preserve"> (</w:t>
      </w:r>
      <w:r w:rsidR="009631AD">
        <w:rPr>
          <w:szCs w:val="24"/>
        </w:rPr>
        <w:t>such as tobacco, alcohol or offensive weapons).</w:t>
      </w:r>
    </w:p>
    <w:p w14:paraId="7C2BA987" w14:textId="77777777" w:rsidR="00CA4729" w:rsidRDefault="00CA4729" w:rsidP="00693520">
      <w:pPr>
        <w:rPr>
          <w:szCs w:val="24"/>
        </w:rPr>
      </w:pPr>
    </w:p>
    <w:p w14:paraId="2410670C" w14:textId="19E72C90" w:rsidR="00CA4729" w:rsidRDefault="00693520" w:rsidP="00693520">
      <w:pPr>
        <w:rPr>
          <w:szCs w:val="24"/>
        </w:rPr>
      </w:pPr>
      <w:r w:rsidRPr="00577BF5">
        <w:rPr>
          <w:szCs w:val="24"/>
        </w:rPr>
        <w:lastRenderedPageBreak/>
        <w:t xml:space="preserve">The Investment Manager shall have regard to such factors as executive compensation, board independence and business ethics </w:t>
      </w:r>
      <w:r w:rsidRPr="00FD65CA">
        <w:rPr>
          <w:szCs w:val="24"/>
        </w:rPr>
        <w:t xml:space="preserve">sound management structures, employee relations, remuneration of staff and tax compliance </w:t>
      </w:r>
      <w:r w:rsidRPr="00577BF5">
        <w:rPr>
          <w:szCs w:val="24"/>
        </w:rPr>
        <w:t xml:space="preserve">when considering whether the proposed investment </w:t>
      </w:r>
      <w:r>
        <w:rPr>
          <w:szCs w:val="24"/>
        </w:rPr>
        <w:t>follows good governance practices.</w:t>
      </w:r>
    </w:p>
    <w:p w14:paraId="7A5D7540" w14:textId="77777777" w:rsidR="009631AD" w:rsidRDefault="009631AD" w:rsidP="00693520">
      <w:pPr>
        <w:rPr>
          <w:szCs w:val="24"/>
        </w:rPr>
      </w:pPr>
    </w:p>
    <w:p w14:paraId="2EB3404E" w14:textId="78AF908E" w:rsidR="006975B0" w:rsidRDefault="003D503C" w:rsidP="006975B0">
      <w:pPr>
        <w:spacing w:after="240"/>
        <w:rPr>
          <w:szCs w:val="24"/>
          <w:lang w:val="en-US"/>
        </w:rPr>
      </w:pPr>
      <w:r>
        <w:rPr>
          <w:szCs w:val="24"/>
          <w:lang w:val="en-US"/>
        </w:rPr>
        <w:t xml:space="preserve">The </w:t>
      </w:r>
      <w:r w:rsidR="006975B0">
        <w:rPr>
          <w:szCs w:val="24"/>
          <w:lang w:val="en-US"/>
        </w:rPr>
        <w:t>Fund pursues both positive and negative screening processes</w:t>
      </w:r>
      <w:r w:rsidR="00BD0E62">
        <w:rPr>
          <w:szCs w:val="24"/>
          <w:lang w:val="en-US"/>
        </w:rPr>
        <w:t xml:space="preserve"> as outlined above</w:t>
      </w:r>
      <w:r w:rsidR="006975B0">
        <w:rPr>
          <w:szCs w:val="24"/>
          <w:lang w:val="en-US"/>
        </w:rPr>
        <w:t xml:space="preserve"> to favour target investments that meet the ESG criteria outlined above, including both e</w:t>
      </w:r>
      <w:r w:rsidR="007F79ED">
        <w:rPr>
          <w:szCs w:val="24"/>
          <w:lang w:val="en-US"/>
        </w:rPr>
        <w:t>nvironmental and social criteria</w:t>
      </w:r>
      <w:r w:rsidR="006975B0">
        <w:rPr>
          <w:szCs w:val="24"/>
          <w:lang w:val="en-US"/>
        </w:rPr>
        <w:t>. Accordingly, the Investment Manager believes that the Fund meets the criteria to be regarded as an Article 8 Fund in accordance with SFDR.</w:t>
      </w:r>
    </w:p>
    <w:p w14:paraId="2DB6B39F" w14:textId="77777777" w:rsidR="006975B0" w:rsidRDefault="006975B0" w:rsidP="006975B0">
      <w:pPr>
        <w:spacing w:after="240"/>
        <w:rPr>
          <w:szCs w:val="24"/>
          <w:lang w:val="en-US"/>
        </w:rPr>
      </w:pPr>
      <w:r>
        <w:rPr>
          <w:szCs w:val="24"/>
          <w:lang w:val="en-US"/>
        </w:rPr>
        <w:t>The disclosures set out above in relation to the application of ESG criteria provide information in relation to such matters as (a) e</w:t>
      </w:r>
      <w:r w:rsidRPr="006A4EF9">
        <w:rPr>
          <w:szCs w:val="24"/>
          <w:lang w:val="en-US"/>
        </w:rPr>
        <w:t xml:space="preserve">nvironmental or social characteristics promoted by the </w:t>
      </w:r>
      <w:r>
        <w:rPr>
          <w:szCs w:val="24"/>
          <w:lang w:val="en-US"/>
        </w:rPr>
        <w:t>Fund, (b) the fact the Fund does not have a sustainable investment objective, (c) the investment strategy in relation to sustainable investment, (d) relevant sustainability indicators and (e) the use of derivatives.</w:t>
      </w:r>
    </w:p>
    <w:p w14:paraId="5515B8F2" w14:textId="65FD40A0" w:rsidR="006975B0" w:rsidRPr="00565F64" w:rsidRDefault="00AB6616" w:rsidP="006975B0">
      <w:pPr>
        <w:spacing w:after="240"/>
        <w:rPr>
          <w:szCs w:val="24"/>
          <w:lang w:val="en-US"/>
        </w:rPr>
      </w:pPr>
      <w:r>
        <w:rPr>
          <w:szCs w:val="24"/>
          <w:lang w:val="en-US"/>
        </w:rPr>
        <w:t xml:space="preserve">Further information about the environmental and social characteristics promoted by the Fund </w:t>
      </w:r>
      <w:r w:rsidR="001F31B6">
        <w:rPr>
          <w:szCs w:val="24"/>
          <w:lang w:val="en-US"/>
        </w:rPr>
        <w:t xml:space="preserve">and in relation to ESG matters </w:t>
      </w:r>
      <w:r>
        <w:rPr>
          <w:szCs w:val="24"/>
          <w:lang w:val="en-US"/>
        </w:rPr>
        <w:t>is available in the</w:t>
      </w:r>
      <w:r w:rsidR="00F0242F">
        <w:rPr>
          <w:szCs w:val="24"/>
          <w:lang w:val="en-US"/>
        </w:rPr>
        <w:t xml:space="preserve"> Sustainability Annex and </w:t>
      </w:r>
      <w:r w:rsidR="006975B0">
        <w:rPr>
          <w:szCs w:val="24"/>
          <w:lang w:val="en-US"/>
        </w:rPr>
        <w:t>may be found on the Investment Manager’s website at www.pacificam.co.uk.</w:t>
      </w:r>
    </w:p>
    <w:p w14:paraId="2D0D3CF4" w14:textId="77777777" w:rsidR="002A75A1" w:rsidRPr="002F7CC7" w:rsidRDefault="002A75A1" w:rsidP="002A75A1">
      <w:pPr>
        <w:pStyle w:val="BodyText"/>
        <w:rPr>
          <w:rFonts w:eastAsia="SimSun"/>
          <w:b/>
          <w:i/>
          <w:sz w:val="22"/>
          <w:szCs w:val="22"/>
        </w:rPr>
      </w:pPr>
      <w:r w:rsidRPr="002F7CC7">
        <w:rPr>
          <w:rFonts w:eastAsia="SimSun"/>
          <w:b/>
          <w:i/>
          <w:sz w:val="22"/>
          <w:szCs w:val="22"/>
        </w:rPr>
        <w:t>Article 6 of the Taxonomy Regulation</w:t>
      </w:r>
    </w:p>
    <w:p w14:paraId="210915FD" w14:textId="125C988C" w:rsidR="006F2DF1" w:rsidRPr="00FC54CD" w:rsidRDefault="002A75A1" w:rsidP="0049719D">
      <w:r w:rsidRPr="00F6754D">
        <w:t xml:space="preserve">The Taxonomy Regulation establishes criteria for determining whether an economic activity qualifies as environmentally sustainable in the context of particular environmental objectives.  The Taxonomy Regulation also obliges the Manager to disclose how and to what extent the investments of each Sub-Fund are in economic activities that qualify as environmentally sustainable pursuant to those criteria. </w:t>
      </w:r>
      <w:r>
        <w:t xml:space="preserve"> </w:t>
      </w:r>
      <w:r w:rsidRPr="00F6754D">
        <w:t>In order for an investment to qualify as environmentally sustainable under the Taxonomy Regulation as at the date hereof, it must meet a number of different criteria, including that it contributes substantially to a</w:t>
      </w:r>
      <w:r w:rsidR="00541505">
        <w:t>n environmental</w:t>
      </w:r>
      <w:r w:rsidR="005C3C78">
        <w:t xml:space="preserve"> objective</w:t>
      </w:r>
      <w:r w:rsidRPr="00F6754D">
        <w:t>, as measured using the Technical Criteria and that it must not significantly harm any of the environmental objectives set out in the Taxonomy Regulation.</w:t>
      </w:r>
    </w:p>
    <w:p w14:paraId="137CC4CC" w14:textId="77777777" w:rsidR="004F6A72" w:rsidRPr="004F6A72" w:rsidRDefault="004F6A72" w:rsidP="002A75A1">
      <w:pPr>
        <w:rPr>
          <w:color w:val="C00000"/>
        </w:rPr>
      </w:pPr>
    </w:p>
    <w:p w14:paraId="388FA49E" w14:textId="4E520964" w:rsidR="005229E1" w:rsidRDefault="005229E1" w:rsidP="005229E1">
      <w:r>
        <w:t xml:space="preserve">While the Fund promotes environmental </w:t>
      </w:r>
      <w:r w:rsidR="00A910F6">
        <w:t xml:space="preserve">and social </w:t>
      </w:r>
      <w:r>
        <w:t>characteristics, the Fund's investments do not take into account the criteria for environmentally sustainable economic activities, including enabling or transitional activities within the meaning of the Taxonomy Regulation. As such, a minimum of 0% of the Net Asset Value of the Fund shall be invested in Taxonomy-aligned investments.</w:t>
      </w:r>
    </w:p>
    <w:p w14:paraId="79AB1A56" w14:textId="77777777" w:rsidR="005229E1" w:rsidRDefault="005229E1" w:rsidP="005229E1"/>
    <w:p w14:paraId="00FDFBAD" w14:textId="33A64E02" w:rsidR="002A75A1" w:rsidRPr="00F367C6" w:rsidRDefault="00ED4027" w:rsidP="00ED4027">
      <w:r>
        <w:t xml:space="preserve">The Manager </w:t>
      </w:r>
      <w:r w:rsidR="009C5463">
        <w:t xml:space="preserve">will keep the position in relation to Taxonomy-aligned investments under </w:t>
      </w:r>
      <w:r>
        <w:t>review. When sufficient reliable, timely and verifiable data on the Fund’s investments become available</w:t>
      </w:r>
      <w:r w:rsidR="00A910F6">
        <w:t xml:space="preserve"> to </w:t>
      </w:r>
      <w:r w:rsidR="00DE79FE">
        <w:t>facilitate the provision of the detailed reporting required under the Taxonomy Regulation</w:t>
      </w:r>
      <w:r w:rsidR="001F31B6">
        <w:t xml:space="preserve"> </w:t>
      </w:r>
      <w:r>
        <w:t xml:space="preserve">the Manager </w:t>
      </w:r>
      <w:r w:rsidR="00A910F6">
        <w:t>and the Investment Manager will consider the extent to which it can commit to</w:t>
      </w:r>
      <w:r w:rsidR="001F703C">
        <w:t xml:space="preserve"> a minimum portion of Taxonomy-</w:t>
      </w:r>
      <w:r w:rsidR="00A910F6">
        <w:t>aligned investments, in which c</w:t>
      </w:r>
      <w:r w:rsidR="00DE79FE">
        <w:t>ash, this Prospectus, Supplement</w:t>
      </w:r>
      <w:r w:rsidR="00A910F6">
        <w:t xml:space="preserve"> and/</w:t>
      </w:r>
      <w:r w:rsidR="001F31B6">
        <w:t>or the Sustainability Annex may</w:t>
      </w:r>
      <w:r w:rsidR="00A910F6">
        <w:t xml:space="preserve"> be </w:t>
      </w:r>
      <w:r>
        <w:t>updated</w:t>
      </w:r>
      <w:r w:rsidR="00A910F6">
        <w:t xml:space="preserve"> accordingly</w:t>
      </w:r>
      <w:r>
        <w:t xml:space="preserve">. </w:t>
      </w:r>
    </w:p>
    <w:p w14:paraId="4BC38605" w14:textId="77777777" w:rsidR="00FA14B7" w:rsidRDefault="00FA14B7" w:rsidP="0098344C">
      <w:pPr>
        <w:jc w:val="left"/>
      </w:pPr>
      <w:r>
        <w:br w:type="page"/>
      </w:r>
    </w:p>
    <w:p w14:paraId="26F9391F" w14:textId="77777777" w:rsidR="00662044" w:rsidRPr="00470248" w:rsidRDefault="00662044" w:rsidP="0098344C">
      <w:pPr>
        <w:pStyle w:val="PROSPECTUSSUMMARY-LEVEL1"/>
        <w:jc w:val="center"/>
        <w:rPr>
          <w:bCs/>
        </w:rPr>
      </w:pPr>
      <w:bookmarkStart w:id="14" w:name="_Toc416354288"/>
      <w:bookmarkStart w:id="15" w:name="_Toc184725735"/>
      <w:r w:rsidRPr="00470248">
        <w:rPr>
          <w:bCs/>
        </w:rPr>
        <w:lastRenderedPageBreak/>
        <w:t>Risk Considerations</w:t>
      </w:r>
      <w:bookmarkEnd w:id="14"/>
      <w:bookmarkEnd w:id="15"/>
    </w:p>
    <w:p w14:paraId="421122CB" w14:textId="77777777" w:rsidR="00662044" w:rsidRPr="00470248" w:rsidRDefault="00662044" w:rsidP="0098344C">
      <w:pPr>
        <w:pStyle w:val="Body2"/>
        <w:ind w:left="0"/>
        <w:rPr>
          <w:szCs w:val="24"/>
        </w:rPr>
      </w:pPr>
      <w:r w:rsidRPr="00470248">
        <w:rPr>
          <w:szCs w:val="24"/>
        </w:rPr>
        <w:t xml:space="preserve">There can be no assurance that the Fund’s investments will be successful or that the investment objectives of the Fund will be achieved.  Investors should be aware of the risks of the Fund including, but not limited to, the risks described in the “Risk Considerations” section of the Prospectus and below.  An investment in the Fund is suitable only for persons who are in a position to take such risks.  </w:t>
      </w:r>
    </w:p>
    <w:p w14:paraId="267098FE" w14:textId="77777777" w:rsidR="00662044" w:rsidRPr="00470248" w:rsidRDefault="00662044" w:rsidP="0098344C">
      <w:pPr>
        <w:pStyle w:val="BodyTextJust"/>
        <w:ind w:firstLine="0"/>
        <w:rPr>
          <w:b/>
          <w:sz w:val="20"/>
          <w:lang w:val="en-IE"/>
        </w:rPr>
      </w:pPr>
      <w:r w:rsidRPr="00470248">
        <w:rPr>
          <w:b/>
          <w:sz w:val="20"/>
          <w:lang w:val="en-IE"/>
        </w:rPr>
        <w:t xml:space="preserve">Limited Operating History; No Reliance on Past Performance </w:t>
      </w:r>
    </w:p>
    <w:p w14:paraId="48AA1A8B" w14:textId="2AF5EBB1" w:rsidR="00662044" w:rsidRPr="00470248" w:rsidRDefault="00662044" w:rsidP="0098344C">
      <w:pPr>
        <w:pStyle w:val="BodyTextJust"/>
        <w:ind w:firstLine="0"/>
        <w:rPr>
          <w:sz w:val="20"/>
          <w:lang w:val="en-IE"/>
        </w:rPr>
      </w:pPr>
      <w:r w:rsidRPr="00470248">
        <w:rPr>
          <w:sz w:val="20"/>
          <w:lang w:val="en-IE"/>
        </w:rPr>
        <w:t xml:space="preserve">The Fund has no operating history upon which prospective investors can evaluate its likely performance.  The past investment performance of the </w:t>
      </w:r>
      <w:r w:rsidR="008F219F">
        <w:rPr>
          <w:sz w:val="20"/>
          <w:lang w:val="en-IE"/>
        </w:rPr>
        <w:t xml:space="preserve">Manager, the </w:t>
      </w:r>
      <w:r w:rsidRPr="00470248">
        <w:rPr>
          <w:sz w:val="20"/>
          <w:lang w:val="en-IE"/>
        </w:rPr>
        <w:t xml:space="preserve">Investment Manager and/or Sub-Investment Manager should not be construed as an indication of the future results of the </w:t>
      </w:r>
      <w:r w:rsidR="008F219F">
        <w:rPr>
          <w:sz w:val="20"/>
          <w:lang w:val="en-IE"/>
        </w:rPr>
        <w:t>Manager, the Investment Manager and their</w:t>
      </w:r>
      <w:r w:rsidRPr="00470248">
        <w:rPr>
          <w:sz w:val="20"/>
          <w:lang w:val="en-IE"/>
        </w:rPr>
        <w:t xml:space="preserve"> affiliates or the Fund.  The results of other investment funds formed and accounts managed by the </w:t>
      </w:r>
      <w:r w:rsidR="008F219F">
        <w:rPr>
          <w:sz w:val="20"/>
          <w:lang w:val="en-IE"/>
        </w:rPr>
        <w:t xml:space="preserve">Manager, the </w:t>
      </w:r>
      <w:r w:rsidRPr="00470248">
        <w:rPr>
          <w:sz w:val="20"/>
          <w:lang w:val="en-IE"/>
        </w:rPr>
        <w:t xml:space="preserve">Investment Manager and/or Sub-Investment Manager, currently or in the past, which have or have had investment policies that are different from or similar to the investment policies of the Fund, are not indicative of the results that the Fund may achieve.  The Fund may make investments in different portfolios or in similar portfolios of securities.  Accordingly, the Fund’s results may differ from, or be similar to, and are independent of the results previously obtained by the </w:t>
      </w:r>
      <w:r w:rsidR="008F219F">
        <w:rPr>
          <w:sz w:val="20"/>
          <w:lang w:val="en-IE"/>
        </w:rPr>
        <w:t xml:space="preserve">Manager, the </w:t>
      </w:r>
      <w:r w:rsidRPr="00470248">
        <w:rPr>
          <w:sz w:val="20"/>
          <w:lang w:val="en-IE"/>
        </w:rPr>
        <w:t>Investment Manager and/or Sub-Investment Manager and those investment funds and accounts.  Further, the Fund and its method of operation may differ in several respects from other investment vehicles or accounts managed by the</w:t>
      </w:r>
      <w:r w:rsidR="002100E1">
        <w:rPr>
          <w:sz w:val="20"/>
          <w:lang w:val="en-IE"/>
        </w:rPr>
        <w:t xml:space="preserve"> Manager, the</w:t>
      </w:r>
      <w:r w:rsidRPr="00470248">
        <w:rPr>
          <w:sz w:val="20"/>
          <w:lang w:val="en-IE"/>
        </w:rPr>
        <w:t xml:space="preserve"> Investment Manager and/or Sub-Investment Manager; e.g., there are different investment and return objectives and investment allocation strategies and, in certain cases, investment techniques.</w:t>
      </w:r>
    </w:p>
    <w:p w14:paraId="40C93145" w14:textId="77777777" w:rsidR="00946729" w:rsidRPr="00470248" w:rsidRDefault="00946729" w:rsidP="0098344C">
      <w:pPr>
        <w:spacing w:before="100" w:beforeAutospacing="1" w:after="100" w:afterAutospacing="1"/>
        <w:jc w:val="left"/>
        <w:rPr>
          <w:rFonts w:eastAsia="Calibri"/>
          <w:b/>
          <w:szCs w:val="24"/>
        </w:rPr>
      </w:pPr>
      <w:r w:rsidRPr="00470248">
        <w:rPr>
          <w:rFonts w:eastAsia="Calibri"/>
          <w:b/>
          <w:szCs w:val="24"/>
        </w:rPr>
        <w:t>Concentration Risk</w:t>
      </w:r>
    </w:p>
    <w:p w14:paraId="0173F7B1" w14:textId="77777777" w:rsidR="00931BE2" w:rsidRPr="00470248" w:rsidRDefault="00946729" w:rsidP="0098344C">
      <w:pPr>
        <w:spacing w:before="100" w:beforeAutospacing="1" w:after="100" w:afterAutospacing="1"/>
        <w:jc w:val="left"/>
        <w:rPr>
          <w:rFonts w:eastAsia="Calibri"/>
          <w:szCs w:val="24"/>
        </w:rPr>
      </w:pPr>
      <w:r w:rsidRPr="00470248">
        <w:rPr>
          <w:rFonts w:eastAsia="Calibri"/>
          <w:szCs w:val="24"/>
        </w:rPr>
        <w:t>The Fund typically holds a relatively small number of stocks as compared to many other funds. This may make the Fund’s performance more volatile than would be the case if it had a more diversified investment portfolio.</w:t>
      </w:r>
    </w:p>
    <w:p w14:paraId="74F7BF06" w14:textId="7DEFACA3" w:rsidR="00921555" w:rsidRDefault="00921555" w:rsidP="00921555">
      <w:pPr>
        <w:rPr>
          <w:b/>
          <w:szCs w:val="24"/>
        </w:rPr>
      </w:pPr>
      <w:r>
        <w:rPr>
          <w:b/>
          <w:szCs w:val="24"/>
        </w:rPr>
        <w:t>Custody Risks</w:t>
      </w:r>
    </w:p>
    <w:p w14:paraId="62A570CE" w14:textId="77777777" w:rsidR="00122794" w:rsidRDefault="00122794" w:rsidP="00921555">
      <w:pPr>
        <w:rPr>
          <w:szCs w:val="24"/>
        </w:rPr>
      </w:pPr>
    </w:p>
    <w:p w14:paraId="3FB43C43" w14:textId="132CCC4E" w:rsidR="00921555" w:rsidRDefault="00921555" w:rsidP="00921555">
      <w:pPr>
        <w:rPr>
          <w:szCs w:val="24"/>
        </w:rPr>
      </w:pPr>
      <w:r>
        <w:rPr>
          <w:szCs w:val="24"/>
        </w:rPr>
        <w:t>The Depositary may appoint sub-custodians in certain jurisdictions to hold assets of the Fund.  Custody services in certain emerging markets jurisdictions remain undeveloped, and accordingly there are transaction and custody risks of dealing in certain emerging markets jurisdictions. Specific markets where such custody risks may arise for the Fund include China, Hong Kong, Indonesia, South Korea, Malaysia, Philippines, Singapore, Taiwan and Vietnam.</w:t>
      </w:r>
    </w:p>
    <w:p w14:paraId="219E2C13" w14:textId="77777777" w:rsidR="00B41D2A" w:rsidRPr="00B467FA" w:rsidRDefault="00B41D2A" w:rsidP="00B41D2A">
      <w:pPr>
        <w:spacing w:before="100" w:beforeAutospacing="1" w:after="100" w:afterAutospacing="1"/>
        <w:jc w:val="left"/>
        <w:rPr>
          <w:rFonts w:eastAsia="Calibri"/>
          <w:b/>
          <w:szCs w:val="24"/>
        </w:rPr>
      </w:pPr>
      <w:r w:rsidRPr="00B467FA">
        <w:rPr>
          <w:rFonts w:eastAsia="Calibri"/>
          <w:b/>
          <w:szCs w:val="24"/>
        </w:rPr>
        <w:t>Emerging Markets Risk</w:t>
      </w:r>
    </w:p>
    <w:p w14:paraId="4C0DA154" w14:textId="332F2EEE" w:rsidR="00B41D2A" w:rsidRDefault="00B41D2A" w:rsidP="00B41D2A">
      <w:pPr>
        <w:spacing w:before="100" w:beforeAutospacing="1" w:after="100" w:afterAutospacing="1"/>
        <w:jc w:val="left"/>
        <w:rPr>
          <w:rFonts w:eastAsia="Calibri"/>
          <w:szCs w:val="24"/>
        </w:rPr>
      </w:pPr>
      <w:r>
        <w:rPr>
          <w:szCs w:val="24"/>
          <w:lang w:val="en-US"/>
        </w:rPr>
        <w:t xml:space="preserve">The Fund may take exposure to emerging </w:t>
      </w:r>
      <w:r w:rsidR="00866F5D">
        <w:rPr>
          <w:szCs w:val="24"/>
          <w:lang w:val="en-US"/>
        </w:rPr>
        <w:t>markets. Therefore</w:t>
      </w:r>
      <w:r>
        <w:rPr>
          <w:szCs w:val="24"/>
          <w:lang w:val="en-US"/>
        </w:rPr>
        <w:t>, i</w:t>
      </w:r>
      <w:r w:rsidRPr="009B0DC1">
        <w:rPr>
          <w:szCs w:val="24"/>
          <w:lang w:val="en-US"/>
        </w:rPr>
        <w:t>nvestors should read the “Emerging Markets” section under Risk Considerations in the Prospectus</w:t>
      </w:r>
      <w:r>
        <w:rPr>
          <w:szCs w:val="24"/>
          <w:lang w:val="en-US"/>
        </w:rPr>
        <w:t>.</w:t>
      </w:r>
    </w:p>
    <w:p w14:paraId="58F1E9B0" w14:textId="4CE25823" w:rsidR="00931BE2" w:rsidRPr="00470248" w:rsidRDefault="00921555" w:rsidP="00921555">
      <w:pPr>
        <w:jc w:val="left"/>
        <w:rPr>
          <w:rFonts w:eastAsia="Calibri"/>
          <w:szCs w:val="24"/>
        </w:rPr>
      </w:pPr>
      <w:r>
        <w:rPr>
          <w:szCs w:val="24"/>
          <w:lang w:val="en-US"/>
        </w:rPr>
        <w:br w:type="page"/>
      </w:r>
    </w:p>
    <w:p w14:paraId="539EDB1B" w14:textId="77777777" w:rsidR="00662044" w:rsidRPr="00470248" w:rsidRDefault="00662044" w:rsidP="00921555">
      <w:pPr>
        <w:pStyle w:val="PROSPECTUSSUMMARY-LEVEL1"/>
        <w:jc w:val="center"/>
        <w:rPr>
          <w:bCs/>
        </w:rPr>
      </w:pPr>
      <w:bookmarkStart w:id="16" w:name="_Toc416354289"/>
      <w:bookmarkStart w:id="17" w:name="_Toc184725736"/>
      <w:r w:rsidRPr="00470248">
        <w:rPr>
          <w:bCs/>
        </w:rPr>
        <w:lastRenderedPageBreak/>
        <w:t>Investor Profile</w:t>
      </w:r>
      <w:bookmarkEnd w:id="16"/>
      <w:bookmarkEnd w:id="17"/>
    </w:p>
    <w:p w14:paraId="10487BC5" w14:textId="77777777" w:rsidR="00662044" w:rsidRPr="00470248" w:rsidRDefault="00524E45" w:rsidP="001B47EA">
      <w:pPr>
        <w:rPr>
          <w:szCs w:val="24"/>
        </w:rPr>
      </w:pPr>
      <w:r w:rsidRPr="00470248">
        <w:rPr>
          <w:szCs w:val="24"/>
        </w:rPr>
        <w:t>The Company has been established for the purpose of investing in transferable securities in accordance with the UCITS Regulations. The investor base is expected to comprise</w:t>
      </w:r>
      <w:r w:rsidR="00E744E2" w:rsidRPr="00470248">
        <w:rPr>
          <w:szCs w:val="24"/>
        </w:rPr>
        <w:t xml:space="preserve"> institutional </w:t>
      </w:r>
      <w:r w:rsidR="00AA1B32" w:rsidRPr="00470248">
        <w:rPr>
          <w:szCs w:val="24"/>
        </w:rPr>
        <w:t>investors, private</w:t>
      </w:r>
      <w:r w:rsidRPr="00470248">
        <w:rPr>
          <w:szCs w:val="24"/>
        </w:rPr>
        <w:t xml:space="preserve"> banks, financial advisers, family offices, wealth managers and their individual clients seeking capital growth over the long term.</w:t>
      </w:r>
      <w:r w:rsidR="00662044" w:rsidRPr="00470248">
        <w:rPr>
          <w:szCs w:val="24"/>
        </w:rPr>
        <w:t xml:space="preserve"> </w:t>
      </w:r>
    </w:p>
    <w:p w14:paraId="47C0E9B1" w14:textId="77777777" w:rsidR="00E744E2" w:rsidRPr="00470248" w:rsidRDefault="00E744E2" w:rsidP="001B47EA">
      <w:pPr>
        <w:rPr>
          <w:szCs w:val="24"/>
        </w:rPr>
      </w:pPr>
    </w:p>
    <w:p w14:paraId="1F295483" w14:textId="5BE39F12" w:rsidR="006F6AEE" w:rsidRDefault="00E744E2" w:rsidP="0098344C">
      <w:pPr>
        <w:rPr>
          <w:szCs w:val="24"/>
        </w:rPr>
      </w:pPr>
      <w:r w:rsidRPr="00470248">
        <w:rPr>
          <w:szCs w:val="24"/>
        </w:rPr>
        <w:t xml:space="preserve">Investment in the Fund is suitable only for those persons and institutions for whom such investment does not represent a complete investment </w:t>
      </w:r>
      <w:r w:rsidR="00116F5C" w:rsidRPr="00470248">
        <w:rPr>
          <w:szCs w:val="24"/>
        </w:rPr>
        <w:t>program,</w:t>
      </w:r>
      <w:r w:rsidRPr="00470248">
        <w:rPr>
          <w:szCs w:val="24"/>
        </w:rPr>
        <w:t xml:space="preserve"> who understand the degree of risk, can tolerate a medium level of volatility and believe that the investment is suitable based upon investment objectives and finance needs. Investment in the Fund should be viewed as medium to long-term.</w:t>
      </w:r>
    </w:p>
    <w:p w14:paraId="4DE9A962" w14:textId="1813ED05" w:rsidR="009F63D8" w:rsidRDefault="009F63D8" w:rsidP="0098344C">
      <w:pPr>
        <w:rPr>
          <w:szCs w:val="24"/>
        </w:rPr>
      </w:pPr>
    </w:p>
    <w:p w14:paraId="609954AC" w14:textId="3A2CADF9" w:rsidR="009F63D8" w:rsidRDefault="009F63D8" w:rsidP="009F63D8">
      <w:pPr>
        <w:rPr>
          <w:szCs w:val="24"/>
        </w:rPr>
      </w:pPr>
      <w:r>
        <w:rPr>
          <w:szCs w:val="24"/>
        </w:rPr>
        <w:br w:type="page"/>
      </w:r>
    </w:p>
    <w:p w14:paraId="5F1B0159" w14:textId="77777777" w:rsidR="009F63D8" w:rsidRDefault="009F63D8" w:rsidP="009F63D8">
      <w:pPr>
        <w:rPr>
          <w:szCs w:val="24"/>
        </w:rPr>
      </w:pPr>
    </w:p>
    <w:p w14:paraId="755237F4" w14:textId="77777777" w:rsidR="009F63D8" w:rsidRDefault="009F63D8" w:rsidP="009F63D8">
      <w:pPr>
        <w:pStyle w:val="PROSPECTUSSUMMARY-LEVEL1"/>
        <w:jc w:val="center"/>
        <w:rPr>
          <w:bCs/>
        </w:rPr>
      </w:pPr>
      <w:bookmarkStart w:id="18" w:name="_Toc30522047"/>
      <w:bookmarkStart w:id="19" w:name="_Toc184725737"/>
      <w:r>
        <w:rPr>
          <w:bCs/>
        </w:rPr>
        <w:t>Dividend Policy</w:t>
      </w:r>
      <w:bookmarkEnd w:id="18"/>
      <w:bookmarkEnd w:id="19"/>
    </w:p>
    <w:p w14:paraId="6E3973F0" w14:textId="77777777" w:rsidR="009F63D8" w:rsidRPr="009A64BA" w:rsidRDefault="009F63D8" w:rsidP="009F63D8">
      <w:pPr>
        <w:pStyle w:val="Body2"/>
        <w:ind w:left="0" w:right="200"/>
        <w:rPr>
          <w:szCs w:val="24"/>
          <w:lang w:val="en-US"/>
        </w:rPr>
      </w:pPr>
      <w:r w:rsidRPr="009A64BA">
        <w:rPr>
          <w:szCs w:val="24"/>
          <w:lang w:val="en-US"/>
        </w:rPr>
        <w:t xml:space="preserve">It is anticipated that distributions will be made </w:t>
      </w:r>
      <w:r>
        <w:rPr>
          <w:szCs w:val="24"/>
          <w:lang w:val="en-US"/>
        </w:rPr>
        <w:t xml:space="preserve">in respect of the Distributing Shares </w:t>
      </w:r>
      <w:r w:rsidRPr="009A64BA">
        <w:rPr>
          <w:szCs w:val="24"/>
          <w:lang w:val="en-US"/>
        </w:rPr>
        <w:t>as set out below.</w:t>
      </w:r>
    </w:p>
    <w:p w14:paraId="2D21B866" w14:textId="77777777" w:rsidR="009F63D8" w:rsidRPr="009A64BA" w:rsidRDefault="009F63D8" w:rsidP="009F63D8">
      <w:pPr>
        <w:pStyle w:val="Body2"/>
        <w:ind w:left="0" w:right="200"/>
        <w:rPr>
          <w:i/>
          <w:szCs w:val="24"/>
          <w:lang w:val="en-US"/>
        </w:rPr>
      </w:pPr>
      <w:r w:rsidRPr="009A64BA">
        <w:rPr>
          <w:i/>
          <w:szCs w:val="24"/>
          <w:lang w:val="en-US"/>
        </w:rPr>
        <w:t>Quarterly distributions</w:t>
      </w:r>
    </w:p>
    <w:p w14:paraId="01ABDE6D" w14:textId="77777777" w:rsidR="009F63D8" w:rsidRPr="006878E0" w:rsidRDefault="009F63D8" w:rsidP="009F63D8">
      <w:pPr>
        <w:rPr>
          <w:szCs w:val="24"/>
          <w:lang w:val="en-US"/>
        </w:rPr>
      </w:pPr>
      <w:r w:rsidRPr="009A64BA">
        <w:rPr>
          <w:szCs w:val="24"/>
          <w:lang w:val="en-US"/>
        </w:rPr>
        <w:t xml:space="preserve">Under normal circumstances it is anticipated distributions of the </w:t>
      </w:r>
      <w:r>
        <w:rPr>
          <w:szCs w:val="24"/>
          <w:lang w:val="en-US"/>
        </w:rPr>
        <w:t xml:space="preserve">Distributing </w:t>
      </w:r>
      <w:r w:rsidRPr="009A64BA">
        <w:rPr>
          <w:szCs w:val="24"/>
          <w:lang w:val="en-US"/>
        </w:rPr>
        <w:t>Shares will be made quarterly (following the end of each calendar quarter).</w:t>
      </w:r>
      <w:bookmarkStart w:id="20" w:name="_DV_M155"/>
      <w:bookmarkEnd w:id="20"/>
      <w:r>
        <w:rPr>
          <w:szCs w:val="24"/>
          <w:lang w:val="en-US"/>
        </w:rPr>
        <w:t xml:space="preserve"> The Shares will go ‘ex-dividend’ on the first Dealing Day following each quarter end </w:t>
      </w:r>
      <w:r w:rsidRPr="006878E0">
        <w:rPr>
          <w:szCs w:val="24"/>
          <w:lang w:val="en-US"/>
        </w:rPr>
        <w:t>with payment normally being made to Shareholders on or by the end of the month.</w:t>
      </w:r>
    </w:p>
    <w:p w14:paraId="3980A602" w14:textId="77777777" w:rsidR="009F63D8" w:rsidRDefault="009F63D8" w:rsidP="009F63D8">
      <w:r>
        <w:t> </w:t>
      </w:r>
    </w:p>
    <w:p w14:paraId="176D6D3A" w14:textId="77777777" w:rsidR="009F63D8" w:rsidRDefault="009F63D8" w:rsidP="009F63D8">
      <w:pPr>
        <w:rPr>
          <w:w w:val="0"/>
        </w:rPr>
      </w:pPr>
      <w:r w:rsidRPr="009646A0">
        <w:rPr>
          <w:w w:val="0"/>
        </w:rPr>
        <w:t>Any such di</w:t>
      </w:r>
      <w:r>
        <w:rPr>
          <w:w w:val="0"/>
        </w:rPr>
        <w:t>stributions</w:t>
      </w:r>
      <w:r w:rsidRPr="009646A0">
        <w:rPr>
          <w:w w:val="0"/>
        </w:rPr>
        <w:t xml:space="preserve"> will be paid </w:t>
      </w:r>
      <w:r>
        <w:rPr>
          <w:w w:val="0"/>
        </w:rPr>
        <w:t xml:space="preserve">from the net income attributable to the relevant Share Class. </w:t>
      </w:r>
    </w:p>
    <w:p w14:paraId="23810EBC" w14:textId="77777777" w:rsidR="009F63D8" w:rsidRPr="008D5EC0" w:rsidRDefault="009F63D8" w:rsidP="009F63D8">
      <w:pPr>
        <w:rPr>
          <w:w w:val="0"/>
        </w:rPr>
      </w:pPr>
    </w:p>
    <w:p w14:paraId="291F12FF" w14:textId="77777777" w:rsidR="009F63D8" w:rsidRPr="009646A0" w:rsidRDefault="009F63D8" w:rsidP="009F63D8">
      <w:pPr>
        <w:pStyle w:val="Body2"/>
        <w:ind w:left="0" w:right="200"/>
        <w:rPr>
          <w:w w:val="0"/>
        </w:rPr>
      </w:pPr>
      <w:r>
        <w:rPr>
          <w:w w:val="0"/>
        </w:rPr>
        <w:t xml:space="preserve">Payment of such distributions will be made </w:t>
      </w:r>
      <w:r w:rsidRPr="009646A0">
        <w:rPr>
          <w:w w:val="0"/>
        </w:rPr>
        <w:t xml:space="preserve">by transfer in accordance with the bank account details nominated by the Shareholder </w:t>
      </w:r>
      <w:r>
        <w:rPr>
          <w:w w:val="0"/>
        </w:rPr>
        <w:t>in the S</w:t>
      </w:r>
      <w:r w:rsidRPr="009646A0">
        <w:rPr>
          <w:w w:val="0"/>
        </w:rPr>
        <w:t>ubscription A</w:t>
      </w:r>
      <w:r>
        <w:rPr>
          <w:w w:val="0"/>
        </w:rPr>
        <w:t xml:space="preserve">greement. </w:t>
      </w:r>
      <w:bookmarkStart w:id="21" w:name="_DV_M158"/>
      <w:bookmarkEnd w:id="21"/>
    </w:p>
    <w:p w14:paraId="4ED1FCD2" w14:textId="6BF2EA49" w:rsidR="00662044" w:rsidRPr="00470248" w:rsidRDefault="00662044" w:rsidP="0098344C">
      <w:pPr>
        <w:rPr>
          <w:szCs w:val="24"/>
        </w:rPr>
      </w:pPr>
      <w:r w:rsidRPr="00470248">
        <w:rPr>
          <w:szCs w:val="24"/>
        </w:rPr>
        <w:br w:type="page"/>
      </w:r>
    </w:p>
    <w:p w14:paraId="68DCF61A" w14:textId="77777777" w:rsidR="00662044" w:rsidRPr="00470248" w:rsidRDefault="00662044" w:rsidP="0098344C">
      <w:pPr>
        <w:rPr>
          <w:szCs w:val="24"/>
        </w:rPr>
      </w:pPr>
      <w:bookmarkStart w:id="22" w:name="_DV_M54"/>
      <w:bookmarkEnd w:id="22"/>
    </w:p>
    <w:p w14:paraId="44CF15BF" w14:textId="77777777" w:rsidR="00662044" w:rsidRPr="00470248" w:rsidRDefault="006E4352" w:rsidP="00921555">
      <w:pPr>
        <w:pStyle w:val="PROSPECTUSSUMMARY-LEVEL1"/>
        <w:jc w:val="center"/>
        <w:rPr>
          <w:bCs/>
        </w:rPr>
      </w:pPr>
      <w:bookmarkStart w:id="23" w:name="_DV_M62"/>
      <w:bookmarkStart w:id="24" w:name="_DV_M63"/>
      <w:bookmarkStart w:id="25" w:name="_Toc416354291"/>
      <w:bookmarkStart w:id="26" w:name="_Toc184725738"/>
      <w:bookmarkEnd w:id="23"/>
      <w:bookmarkEnd w:id="24"/>
      <w:r w:rsidRPr="00470248">
        <w:rPr>
          <w:bCs/>
        </w:rPr>
        <w:t>F</w:t>
      </w:r>
      <w:r w:rsidR="00662044" w:rsidRPr="00470248">
        <w:rPr>
          <w:bCs/>
        </w:rPr>
        <w:t>ees and Expenses</w:t>
      </w:r>
      <w:bookmarkEnd w:id="25"/>
      <w:bookmarkEnd w:id="26"/>
    </w:p>
    <w:p w14:paraId="09E835A2" w14:textId="77777777" w:rsidR="009F63D8" w:rsidRPr="00AC3063" w:rsidRDefault="009F63D8" w:rsidP="009F63D8">
      <w:pPr>
        <w:ind w:right="200"/>
        <w:rPr>
          <w:szCs w:val="24"/>
        </w:rPr>
      </w:pPr>
      <w:r>
        <w:rPr>
          <w:szCs w:val="24"/>
        </w:rPr>
        <w:t>Please see the “</w:t>
      </w:r>
      <w:r w:rsidRPr="00EC6059">
        <w:rPr>
          <w:b/>
          <w:szCs w:val="24"/>
        </w:rPr>
        <w:t>Fees and Expenses</w:t>
      </w:r>
      <w:r>
        <w:rPr>
          <w:szCs w:val="24"/>
        </w:rPr>
        <w:t xml:space="preserve">” section of the Prospectus for details of the fees and expenses of the Company. The following fees and expenses apply in respect of the Fund. </w:t>
      </w:r>
    </w:p>
    <w:p w14:paraId="2C5E2D78" w14:textId="77777777" w:rsidR="009F63D8" w:rsidRDefault="009F63D8" w:rsidP="009F63D8">
      <w:pPr>
        <w:ind w:right="200"/>
        <w:rPr>
          <w:szCs w:val="24"/>
        </w:rPr>
      </w:pPr>
    </w:p>
    <w:p w14:paraId="34030F1D" w14:textId="77777777" w:rsidR="009F63D8" w:rsidRPr="006317D2" w:rsidRDefault="009F63D8" w:rsidP="009F63D8">
      <w:pPr>
        <w:ind w:right="200" w:firstLine="9"/>
        <w:rPr>
          <w:b/>
          <w:i/>
          <w:szCs w:val="24"/>
          <w:lang w:val="en-US"/>
        </w:rPr>
      </w:pPr>
      <w:r w:rsidRPr="008B6529">
        <w:rPr>
          <w:b/>
          <w:szCs w:val="24"/>
          <w:lang w:val="en-US"/>
        </w:rPr>
        <w:t>Investment Management Fees</w:t>
      </w:r>
    </w:p>
    <w:p w14:paraId="7467A00D" w14:textId="77777777" w:rsidR="009F63D8" w:rsidRDefault="009F63D8" w:rsidP="009F63D8">
      <w:pPr>
        <w:ind w:right="200" w:firstLine="9"/>
        <w:rPr>
          <w:b/>
          <w:szCs w:val="24"/>
          <w:lang w:val="en-US"/>
        </w:rPr>
      </w:pPr>
    </w:p>
    <w:p w14:paraId="46740EBB" w14:textId="77777777" w:rsidR="009F63D8" w:rsidRDefault="009F63D8" w:rsidP="009F63D8">
      <w:pPr>
        <w:ind w:right="200" w:firstLine="9"/>
        <w:rPr>
          <w:i/>
          <w:szCs w:val="24"/>
          <w:lang w:val="en-US"/>
        </w:rPr>
      </w:pPr>
      <w:r w:rsidRPr="004D7AF7">
        <w:rPr>
          <w:i/>
          <w:szCs w:val="24"/>
          <w:lang w:val="en-US"/>
        </w:rPr>
        <w:t xml:space="preserve">Z, Institutional, Performance Fee </w:t>
      </w:r>
      <w:r>
        <w:rPr>
          <w:i/>
          <w:szCs w:val="24"/>
          <w:lang w:val="en-US"/>
        </w:rPr>
        <w:t xml:space="preserve">and Retail 1 </w:t>
      </w:r>
      <w:r w:rsidRPr="008F244E">
        <w:rPr>
          <w:i/>
          <w:szCs w:val="24"/>
          <w:lang w:val="en-US"/>
        </w:rPr>
        <w:t>Shares</w:t>
      </w:r>
    </w:p>
    <w:p w14:paraId="6D65E716" w14:textId="77777777" w:rsidR="009F63D8" w:rsidRDefault="009F63D8" w:rsidP="009F63D8">
      <w:pPr>
        <w:ind w:right="200" w:firstLine="9"/>
        <w:rPr>
          <w:szCs w:val="24"/>
          <w:lang w:val="en-US"/>
        </w:rPr>
      </w:pPr>
    </w:p>
    <w:p w14:paraId="795F17F2" w14:textId="13EC0BD3" w:rsidR="009F63D8" w:rsidRDefault="009F63D8" w:rsidP="009F63D8">
      <w:pPr>
        <w:ind w:right="200" w:firstLine="9"/>
        <w:rPr>
          <w:szCs w:val="24"/>
        </w:rPr>
      </w:pPr>
      <w:r>
        <w:rPr>
          <w:szCs w:val="24"/>
          <w:lang w:val="en-US"/>
        </w:rPr>
        <w:t>The Investment Manager will receive a</w:t>
      </w:r>
      <w:r w:rsidR="008B6324">
        <w:rPr>
          <w:szCs w:val="24"/>
          <w:lang w:val="en-US"/>
        </w:rPr>
        <w:t>n investment</w:t>
      </w:r>
      <w:r>
        <w:rPr>
          <w:szCs w:val="24"/>
          <w:lang w:val="en-US"/>
        </w:rPr>
        <w:t xml:space="preserve"> management fee (the “</w:t>
      </w:r>
      <w:r w:rsidR="008B6324" w:rsidRPr="008B6324">
        <w:rPr>
          <w:b/>
          <w:szCs w:val="24"/>
          <w:lang w:val="en-US"/>
        </w:rPr>
        <w:t>Investment</w:t>
      </w:r>
      <w:r w:rsidR="008B6324">
        <w:rPr>
          <w:szCs w:val="24"/>
          <w:lang w:val="en-US"/>
        </w:rPr>
        <w:t xml:space="preserve"> </w:t>
      </w:r>
      <w:r w:rsidRPr="00A30D25">
        <w:rPr>
          <w:b/>
          <w:szCs w:val="24"/>
          <w:lang w:val="en-US"/>
        </w:rPr>
        <w:t>Management Fee</w:t>
      </w:r>
      <w:r>
        <w:rPr>
          <w:szCs w:val="24"/>
          <w:lang w:val="en-US"/>
        </w:rPr>
        <w:t xml:space="preserve">”) </w:t>
      </w:r>
      <w:r>
        <w:rPr>
          <w:szCs w:val="24"/>
        </w:rPr>
        <w:t xml:space="preserve">in respect of Z, Institutional, Performance Fee and Retail 1 </w:t>
      </w:r>
      <w:r w:rsidRPr="008F244E">
        <w:rPr>
          <w:szCs w:val="24"/>
        </w:rPr>
        <w:t>Shares</w:t>
      </w:r>
      <w:r>
        <w:rPr>
          <w:szCs w:val="24"/>
        </w:rPr>
        <w:t xml:space="preserve"> for management services to the Fund of up to 0.75</w:t>
      </w:r>
      <w:r w:rsidRPr="003D58F0">
        <w:rPr>
          <w:szCs w:val="24"/>
        </w:rPr>
        <w:t>% per annum (plus VAT, if</w:t>
      </w:r>
      <w:r>
        <w:rPr>
          <w:szCs w:val="24"/>
        </w:rPr>
        <w:t xml:space="preserve"> </w:t>
      </w:r>
      <w:r w:rsidRPr="003D58F0">
        <w:rPr>
          <w:szCs w:val="24"/>
        </w:rPr>
        <w:t>any) of the Net Asset Value of the relevant class of Shares of the Fund.</w:t>
      </w:r>
    </w:p>
    <w:p w14:paraId="5026A0EA" w14:textId="77777777" w:rsidR="009F63D8" w:rsidRDefault="009F63D8" w:rsidP="009F63D8">
      <w:pPr>
        <w:ind w:right="200" w:firstLine="9"/>
        <w:rPr>
          <w:szCs w:val="24"/>
        </w:rPr>
      </w:pPr>
    </w:p>
    <w:p w14:paraId="74F8108A" w14:textId="7C55CD42" w:rsidR="009F63D8" w:rsidRDefault="00F742EE" w:rsidP="009F63D8">
      <w:pPr>
        <w:ind w:right="200" w:firstLine="9"/>
        <w:rPr>
          <w:i/>
          <w:szCs w:val="24"/>
        </w:rPr>
      </w:pPr>
      <w:r>
        <w:rPr>
          <w:i/>
          <w:szCs w:val="24"/>
        </w:rPr>
        <w:t>Retail 2</w:t>
      </w:r>
      <w:r w:rsidR="009F63D8">
        <w:rPr>
          <w:i/>
          <w:szCs w:val="24"/>
        </w:rPr>
        <w:t xml:space="preserve"> Retail 3</w:t>
      </w:r>
      <w:r>
        <w:rPr>
          <w:i/>
          <w:szCs w:val="24"/>
        </w:rPr>
        <w:t xml:space="preserve"> and Retail 4</w:t>
      </w:r>
      <w:r w:rsidR="009F63D8">
        <w:rPr>
          <w:i/>
          <w:szCs w:val="24"/>
        </w:rPr>
        <w:t xml:space="preserve"> </w:t>
      </w:r>
      <w:r w:rsidR="009F63D8" w:rsidRPr="004D7AF7">
        <w:rPr>
          <w:i/>
          <w:szCs w:val="24"/>
        </w:rPr>
        <w:t>Shares</w:t>
      </w:r>
    </w:p>
    <w:p w14:paraId="6B9F6EAC" w14:textId="77777777" w:rsidR="009F63D8" w:rsidRDefault="009F63D8" w:rsidP="009F63D8">
      <w:pPr>
        <w:ind w:right="200" w:firstLine="9"/>
        <w:rPr>
          <w:szCs w:val="24"/>
        </w:rPr>
      </w:pPr>
    </w:p>
    <w:p w14:paraId="5E65B617" w14:textId="645337F4" w:rsidR="009F63D8" w:rsidRDefault="009F63D8" w:rsidP="009F63D8">
      <w:pPr>
        <w:ind w:right="200" w:firstLine="9"/>
        <w:rPr>
          <w:szCs w:val="24"/>
        </w:rPr>
      </w:pPr>
      <w:r>
        <w:rPr>
          <w:szCs w:val="24"/>
          <w:lang w:val="en-US"/>
        </w:rPr>
        <w:t>The Investment Manager will receive a</w:t>
      </w:r>
      <w:r w:rsidR="008B6324">
        <w:rPr>
          <w:szCs w:val="24"/>
          <w:lang w:val="en-US"/>
        </w:rPr>
        <w:t>n Investment</w:t>
      </w:r>
      <w:r>
        <w:rPr>
          <w:szCs w:val="24"/>
          <w:lang w:val="en-US"/>
        </w:rPr>
        <w:t xml:space="preserve"> Management Fee </w:t>
      </w:r>
      <w:r w:rsidR="00F742EE">
        <w:rPr>
          <w:szCs w:val="24"/>
        </w:rPr>
        <w:t xml:space="preserve">in respect of Retail 2, </w:t>
      </w:r>
      <w:r>
        <w:rPr>
          <w:szCs w:val="24"/>
        </w:rPr>
        <w:t>Retail 3</w:t>
      </w:r>
      <w:r w:rsidR="00F742EE">
        <w:rPr>
          <w:szCs w:val="24"/>
        </w:rPr>
        <w:t xml:space="preserve"> and Retail 4</w:t>
      </w:r>
      <w:r>
        <w:rPr>
          <w:szCs w:val="24"/>
        </w:rPr>
        <w:t xml:space="preserve"> </w:t>
      </w:r>
      <w:r w:rsidRPr="008F244E">
        <w:rPr>
          <w:szCs w:val="24"/>
        </w:rPr>
        <w:t xml:space="preserve">Shares </w:t>
      </w:r>
      <w:r>
        <w:rPr>
          <w:szCs w:val="24"/>
        </w:rPr>
        <w:t>for management services to the Fund of u</w:t>
      </w:r>
      <w:r w:rsidRPr="003D58F0">
        <w:rPr>
          <w:szCs w:val="24"/>
        </w:rPr>
        <w:t>p</w:t>
      </w:r>
      <w:r>
        <w:rPr>
          <w:szCs w:val="24"/>
        </w:rPr>
        <w:t xml:space="preserve"> to 1.50</w:t>
      </w:r>
      <w:r w:rsidRPr="00646129">
        <w:rPr>
          <w:szCs w:val="24"/>
        </w:rPr>
        <w:t>% per annum (plus VAT, if</w:t>
      </w:r>
      <w:r>
        <w:rPr>
          <w:szCs w:val="24"/>
        </w:rPr>
        <w:t xml:space="preserve"> </w:t>
      </w:r>
      <w:r w:rsidRPr="00646129">
        <w:rPr>
          <w:szCs w:val="24"/>
        </w:rPr>
        <w:t>any) of the Net Asset Value of the relevant class of Shares of the Fund.</w:t>
      </w:r>
    </w:p>
    <w:p w14:paraId="7F078910" w14:textId="77777777" w:rsidR="009F63D8" w:rsidRDefault="009F63D8" w:rsidP="009F63D8">
      <w:pPr>
        <w:rPr>
          <w:i/>
          <w:szCs w:val="24"/>
        </w:rPr>
      </w:pPr>
    </w:p>
    <w:p w14:paraId="5F221C8D" w14:textId="77777777" w:rsidR="009F63D8" w:rsidRDefault="009F63D8" w:rsidP="009F63D8">
      <w:pPr>
        <w:spacing w:after="240"/>
        <w:rPr>
          <w:b/>
          <w:szCs w:val="24"/>
        </w:rPr>
      </w:pPr>
      <w:r w:rsidRPr="008B6529">
        <w:rPr>
          <w:b/>
          <w:szCs w:val="24"/>
        </w:rPr>
        <w:t>Administration and Custody Fees</w:t>
      </w:r>
    </w:p>
    <w:p w14:paraId="3AAE433C" w14:textId="77777777" w:rsidR="009F63D8" w:rsidRPr="00045251" w:rsidRDefault="009F63D8" w:rsidP="009F63D8">
      <w:pPr>
        <w:tabs>
          <w:tab w:val="left" w:pos="4030"/>
        </w:tabs>
        <w:spacing w:after="240"/>
        <w:rPr>
          <w:szCs w:val="24"/>
        </w:rPr>
      </w:pPr>
      <w:r w:rsidRPr="00045251">
        <w:rPr>
          <w:szCs w:val="24"/>
        </w:rPr>
        <w:t>The Fund will be subject to an administration fee in relation to administration services provided by the Administrator to the Fund and to a custody fee in relation to the services provided by the Depositary to the Fund.</w:t>
      </w:r>
    </w:p>
    <w:p w14:paraId="4A5631DC" w14:textId="77777777" w:rsidR="009F63D8" w:rsidRPr="00045251" w:rsidRDefault="009F63D8" w:rsidP="009F63D8">
      <w:pPr>
        <w:tabs>
          <w:tab w:val="left" w:pos="4030"/>
        </w:tabs>
        <w:spacing w:after="240"/>
        <w:rPr>
          <w:szCs w:val="24"/>
        </w:rPr>
      </w:pPr>
      <w:r w:rsidRPr="00045251">
        <w:rPr>
          <w:szCs w:val="24"/>
        </w:rPr>
        <w:t xml:space="preserve">The fees payable to the Administrator and Depositary have fixed and variable elements dependent on assets under management and Fund activity.  </w:t>
      </w:r>
    </w:p>
    <w:p w14:paraId="67C38F53" w14:textId="0EF09DBC" w:rsidR="009F63D8" w:rsidRPr="00045251" w:rsidRDefault="009F63D8" w:rsidP="009F63D8">
      <w:pPr>
        <w:tabs>
          <w:tab w:val="left" w:pos="4030"/>
        </w:tabs>
        <w:spacing w:after="240"/>
        <w:rPr>
          <w:szCs w:val="24"/>
        </w:rPr>
      </w:pPr>
      <w:r w:rsidRPr="00045251">
        <w:rPr>
          <w:szCs w:val="24"/>
        </w:rPr>
        <w:t xml:space="preserve">The Administrator will be entitled to receive out of the assets of the Fund a maximum </w:t>
      </w:r>
      <w:r>
        <w:rPr>
          <w:szCs w:val="24"/>
        </w:rPr>
        <w:t xml:space="preserve">variable </w:t>
      </w:r>
      <w:r w:rsidRPr="00045251">
        <w:rPr>
          <w:szCs w:val="24"/>
        </w:rPr>
        <w:t xml:space="preserve">annual fee of </w:t>
      </w:r>
      <w:r>
        <w:rPr>
          <w:szCs w:val="24"/>
        </w:rPr>
        <w:t>0.0</w:t>
      </w:r>
      <w:r w:rsidR="00AF4D2E">
        <w:rPr>
          <w:szCs w:val="24"/>
        </w:rPr>
        <w:t>2</w:t>
      </w:r>
      <w:r w:rsidRPr="00045251">
        <w:rPr>
          <w:szCs w:val="24"/>
        </w:rPr>
        <w:t>% per annum of the Net Asset Value of the Fund, subjec</w:t>
      </w:r>
      <w:r>
        <w:rPr>
          <w:szCs w:val="24"/>
        </w:rPr>
        <w:t xml:space="preserve">t to a minimum annual fee of USD </w:t>
      </w:r>
      <w:r w:rsidRPr="00045251">
        <w:rPr>
          <w:szCs w:val="24"/>
        </w:rPr>
        <w:t xml:space="preserve">25,000 per annum.  This </w:t>
      </w:r>
      <w:r>
        <w:rPr>
          <w:szCs w:val="24"/>
        </w:rPr>
        <w:t xml:space="preserve">minimum </w:t>
      </w:r>
      <w:r w:rsidRPr="00045251">
        <w:rPr>
          <w:szCs w:val="24"/>
        </w:rPr>
        <w:t>fee may be waived by the Administrator for such period or periods of time as may be agreed between the Company and the Administrator from time to time.</w:t>
      </w:r>
    </w:p>
    <w:p w14:paraId="545E4B27" w14:textId="0F41BF74" w:rsidR="009F63D8" w:rsidRPr="00045251" w:rsidRDefault="009F63D8" w:rsidP="009F63D8">
      <w:pPr>
        <w:tabs>
          <w:tab w:val="left" w:pos="4030"/>
        </w:tabs>
        <w:spacing w:after="240"/>
        <w:rPr>
          <w:szCs w:val="24"/>
        </w:rPr>
      </w:pPr>
      <w:r w:rsidRPr="00045251">
        <w:rPr>
          <w:szCs w:val="24"/>
        </w:rPr>
        <w:t>The Depositary shall be entitled to a fee of up to 0.0</w:t>
      </w:r>
      <w:r w:rsidR="00070EB9">
        <w:rPr>
          <w:szCs w:val="24"/>
        </w:rPr>
        <w:t>1</w:t>
      </w:r>
      <w:r w:rsidR="00AF4D2E">
        <w:rPr>
          <w:szCs w:val="24"/>
        </w:rPr>
        <w:t>2</w:t>
      </w:r>
      <w:r w:rsidR="00070EB9">
        <w:rPr>
          <w:szCs w:val="24"/>
        </w:rPr>
        <w:t>5</w:t>
      </w:r>
      <w:r w:rsidRPr="00045251">
        <w:rPr>
          <w:szCs w:val="24"/>
        </w:rPr>
        <w:t>% per annum of the Net Asset Value of the Fund, subjec</w:t>
      </w:r>
      <w:r>
        <w:rPr>
          <w:szCs w:val="24"/>
        </w:rPr>
        <w:t xml:space="preserve">t to a minimum annual fee of USD </w:t>
      </w:r>
      <w:r w:rsidRPr="00045251">
        <w:rPr>
          <w:szCs w:val="24"/>
        </w:rPr>
        <w:t xml:space="preserve">15,000 per annum. This </w:t>
      </w:r>
      <w:r>
        <w:rPr>
          <w:szCs w:val="24"/>
        </w:rPr>
        <w:t xml:space="preserve">minimum </w:t>
      </w:r>
      <w:r w:rsidRPr="00045251">
        <w:rPr>
          <w:szCs w:val="24"/>
        </w:rPr>
        <w:t>fee may be waived by the Depositary for such period or periods of time as may be agreed between the Company and the Depositary from time to time. The Depositary is also entitled to</w:t>
      </w:r>
      <w:r>
        <w:rPr>
          <w:szCs w:val="24"/>
        </w:rPr>
        <w:t xml:space="preserve"> be reimbursed out of the assets of the Fund for</w:t>
      </w:r>
      <w:r w:rsidRPr="00045251">
        <w:rPr>
          <w:szCs w:val="24"/>
        </w:rPr>
        <w:t xml:space="preserve"> any sub-custodian fees (at normal commercial rates) </w:t>
      </w:r>
      <w:r>
        <w:rPr>
          <w:szCs w:val="24"/>
        </w:rPr>
        <w:t xml:space="preserve">in respect </w:t>
      </w:r>
      <w:r w:rsidRPr="00045251">
        <w:rPr>
          <w:szCs w:val="24"/>
        </w:rPr>
        <w:t xml:space="preserve">of any custodian appointed by it as well as agreed upon transaction charges (at normal commercial rates). </w:t>
      </w:r>
    </w:p>
    <w:p w14:paraId="4075F581" w14:textId="77777777" w:rsidR="009F63D8" w:rsidRPr="00045251" w:rsidRDefault="009F63D8" w:rsidP="009F63D8">
      <w:pPr>
        <w:tabs>
          <w:tab w:val="left" w:pos="4030"/>
        </w:tabs>
        <w:spacing w:after="240"/>
        <w:rPr>
          <w:szCs w:val="24"/>
        </w:rPr>
      </w:pPr>
      <w:r w:rsidRPr="00045251">
        <w:rPr>
          <w:szCs w:val="24"/>
        </w:rPr>
        <w:t xml:space="preserve">Other fees and expenses, payable to the Administrator and/or Depositary, include fees in respect of </w:t>
      </w:r>
      <w:r>
        <w:rPr>
          <w:szCs w:val="24"/>
        </w:rPr>
        <w:t xml:space="preserve">additional Share Class costs, financial reporting, </w:t>
      </w:r>
      <w:r w:rsidRPr="00045251">
        <w:rPr>
          <w:szCs w:val="24"/>
        </w:rPr>
        <w:t xml:space="preserve">transfer agency, transaction processing fees and fees for tax reclaim services. These fees are at normal commercial rates and are primarily charged on a ‘per-transaction’ basis. </w:t>
      </w:r>
    </w:p>
    <w:p w14:paraId="085823A4" w14:textId="77777777" w:rsidR="009F63D8" w:rsidRPr="00045251" w:rsidRDefault="009F63D8" w:rsidP="009F63D8">
      <w:pPr>
        <w:tabs>
          <w:tab w:val="left" w:pos="4030"/>
        </w:tabs>
        <w:spacing w:after="240"/>
        <w:rPr>
          <w:szCs w:val="24"/>
        </w:rPr>
      </w:pPr>
      <w:r w:rsidRPr="00045251">
        <w:rPr>
          <w:szCs w:val="24"/>
        </w:rPr>
        <w:t xml:space="preserve">These fees (plus VAT, if any) will accrue on a daily basis and shall be payable monthly in arrears on the last Business Day of each month.  </w:t>
      </w:r>
    </w:p>
    <w:p w14:paraId="385C12E2" w14:textId="77777777" w:rsidR="009F63D8" w:rsidRDefault="009F63D8" w:rsidP="009F63D8">
      <w:pPr>
        <w:spacing w:after="240"/>
        <w:rPr>
          <w:szCs w:val="24"/>
        </w:rPr>
      </w:pPr>
      <w:r w:rsidRPr="00045251">
        <w:rPr>
          <w:szCs w:val="24"/>
        </w:rPr>
        <w:t xml:space="preserve">The Company will reimburse the Administrator for reasonable out-of-pocket expenses (plus VAT thereon, if any) incurred out of the assets of the Fund and will also reimburse the Depositary out of the assets of the Fund for reasonable out-of-pocket expenses (plus VAT thereon, if any) incurred by the Depositary and for reasonable out-of-pocket expenses of any sub-custodian appointed by the Depositary and will be liable for transaction charges. The expenses of the Depositary and </w:t>
      </w:r>
    </w:p>
    <w:p w14:paraId="3F4D4CCE" w14:textId="77777777" w:rsidR="009F63D8" w:rsidRDefault="009F63D8" w:rsidP="009F63D8">
      <w:pPr>
        <w:spacing w:after="240"/>
        <w:rPr>
          <w:szCs w:val="24"/>
        </w:rPr>
      </w:pPr>
      <w:r w:rsidRPr="00045251">
        <w:rPr>
          <w:szCs w:val="24"/>
        </w:rPr>
        <w:t>Administrator shall accrue on a daily basis and shall be payable monthly in arrears.</w:t>
      </w:r>
    </w:p>
    <w:p w14:paraId="07EB3013" w14:textId="77777777" w:rsidR="00A54762" w:rsidRDefault="00A54762" w:rsidP="009F63D8">
      <w:pPr>
        <w:spacing w:after="240"/>
        <w:rPr>
          <w:szCs w:val="24"/>
        </w:rPr>
      </w:pPr>
    </w:p>
    <w:p w14:paraId="13885979" w14:textId="77777777" w:rsidR="009F63D8" w:rsidRPr="006317D2" w:rsidRDefault="009F63D8" w:rsidP="009F63D8">
      <w:pPr>
        <w:spacing w:after="240"/>
        <w:rPr>
          <w:b/>
          <w:i/>
          <w:szCs w:val="24"/>
        </w:rPr>
      </w:pPr>
      <w:r w:rsidRPr="00A1233D">
        <w:rPr>
          <w:b/>
          <w:szCs w:val="24"/>
        </w:rPr>
        <w:lastRenderedPageBreak/>
        <w:t>Subscription Fee</w:t>
      </w:r>
    </w:p>
    <w:p w14:paraId="6415F42E" w14:textId="14DE597E" w:rsidR="00215192" w:rsidRDefault="009F63D8" w:rsidP="00215192">
      <w:pPr>
        <w:rPr>
          <w:rFonts w:cs="Arial"/>
        </w:rPr>
      </w:pPr>
      <w:r w:rsidRPr="00812036">
        <w:rPr>
          <w:rFonts w:cs="Arial"/>
        </w:rPr>
        <w:t xml:space="preserve">A subscription charge of up to 5% of the subscription amount may apply in respect to </w:t>
      </w:r>
      <w:r w:rsidR="00215192" w:rsidRPr="00812036">
        <w:rPr>
          <w:rFonts w:cs="Arial"/>
        </w:rPr>
        <w:t>Z Classes</w:t>
      </w:r>
      <w:r w:rsidR="00215192">
        <w:rPr>
          <w:rFonts w:cs="Arial"/>
        </w:rPr>
        <w:t>, E Classes</w:t>
      </w:r>
      <w:r w:rsidR="00215192" w:rsidRPr="00812036">
        <w:rPr>
          <w:rFonts w:cs="Arial"/>
        </w:rPr>
        <w:t>, P</w:t>
      </w:r>
      <w:r w:rsidR="00215192">
        <w:rPr>
          <w:rFonts w:cs="Arial"/>
        </w:rPr>
        <w:t>erformance Classes, Retail 1 Classes, Retail 2 Classes, Retail 3 Classes and Retail 4 Classes</w:t>
      </w:r>
      <w:r w:rsidR="00215192" w:rsidRPr="00812036">
        <w:rPr>
          <w:rFonts w:cs="Arial"/>
        </w:rPr>
        <w:t>. No subscription charge shall apply in respect of I Classes</w:t>
      </w:r>
      <w:r w:rsidR="00215192">
        <w:rPr>
          <w:rFonts w:cs="Arial"/>
        </w:rPr>
        <w:t xml:space="preserve">. </w:t>
      </w:r>
    </w:p>
    <w:p w14:paraId="72103AB5" w14:textId="77777777" w:rsidR="009F63D8" w:rsidRDefault="009F63D8" w:rsidP="009F63D8">
      <w:pPr>
        <w:pStyle w:val="Body"/>
        <w:rPr>
          <w:b/>
          <w:szCs w:val="24"/>
        </w:rPr>
      </w:pPr>
      <w:r>
        <w:rPr>
          <w:b/>
          <w:szCs w:val="24"/>
        </w:rPr>
        <w:t>Distribution Fee</w:t>
      </w:r>
    </w:p>
    <w:p w14:paraId="73A91807" w14:textId="77777777" w:rsidR="009F63D8" w:rsidRDefault="009F63D8" w:rsidP="009F63D8">
      <w:pPr>
        <w:rPr>
          <w:rFonts w:cs="Arial"/>
        </w:rPr>
      </w:pPr>
    </w:p>
    <w:p w14:paraId="74D31E84" w14:textId="05C9541F" w:rsidR="00A55580" w:rsidRDefault="009C6F4B" w:rsidP="00A55580">
      <w:pPr>
        <w:rPr>
          <w:szCs w:val="24"/>
        </w:rPr>
      </w:pPr>
      <w:r>
        <w:rPr>
          <w:rFonts w:cs="Arial"/>
        </w:rPr>
        <w:t>A distribution f</w:t>
      </w:r>
      <w:r w:rsidR="00A55580" w:rsidRPr="00C825B7">
        <w:rPr>
          <w:rFonts w:cs="Arial"/>
        </w:rPr>
        <w:t>ee will apply in respect of Retail 1</w:t>
      </w:r>
      <w:r w:rsidR="00215192">
        <w:rPr>
          <w:rFonts w:cs="Arial"/>
        </w:rPr>
        <w:t xml:space="preserve"> Classes</w:t>
      </w:r>
      <w:r w:rsidR="00A55580" w:rsidRPr="00C825B7">
        <w:rPr>
          <w:rFonts w:cs="Arial"/>
        </w:rPr>
        <w:t xml:space="preserve"> </w:t>
      </w:r>
      <w:r w:rsidR="00353A6F">
        <w:rPr>
          <w:rFonts w:cs="Arial"/>
        </w:rPr>
        <w:t xml:space="preserve">and Retail 4 </w:t>
      </w:r>
      <w:r w:rsidR="00215192">
        <w:rPr>
          <w:rFonts w:cs="Arial"/>
        </w:rPr>
        <w:t xml:space="preserve">Classes </w:t>
      </w:r>
      <w:r w:rsidR="00A55580" w:rsidRPr="00C825B7">
        <w:rPr>
          <w:rFonts w:cs="Arial"/>
        </w:rPr>
        <w:t xml:space="preserve">of 0.75% per annum of the Net Asset Value of the </w:t>
      </w:r>
      <w:r w:rsidR="00A55580" w:rsidRPr="00646129">
        <w:rPr>
          <w:szCs w:val="24"/>
        </w:rPr>
        <w:t xml:space="preserve">of the </w:t>
      </w:r>
      <w:r w:rsidR="001C0605">
        <w:rPr>
          <w:szCs w:val="24"/>
        </w:rPr>
        <w:t xml:space="preserve">relevant </w:t>
      </w:r>
      <w:r w:rsidR="00B244AE" w:rsidRPr="00C825B7">
        <w:rPr>
          <w:rFonts w:cs="Arial"/>
        </w:rPr>
        <w:t xml:space="preserve">Retail 1 </w:t>
      </w:r>
      <w:r>
        <w:rPr>
          <w:rFonts w:cs="Arial"/>
        </w:rPr>
        <w:t xml:space="preserve">Classes </w:t>
      </w:r>
      <w:r w:rsidR="001C0605">
        <w:rPr>
          <w:rFonts w:cs="Arial"/>
        </w:rPr>
        <w:t>or</w:t>
      </w:r>
      <w:r w:rsidR="00353A6F">
        <w:rPr>
          <w:szCs w:val="24"/>
        </w:rPr>
        <w:t xml:space="preserve"> Retail 4 </w:t>
      </w:r>
      <w:r>
        <w:rPr>
          <w:szCs w:val="24"/>
        </w:rPr>
        <w:t xml:space="preserve">Classes </w:t>
      </w:r>
      <w:r w:rsidR="00A55580" w:rsidRPr="00646129">
        <w:rPr>
          <w:szCs w:val="24"/>
        </w:rPr>
        <w:t>of the Fund.</w:t>
      </w:r>
    </w:p>
    <w:p w14:paraId="13316904" w14:textId="1EE3E503" w:rsidR="009F63D8" w:rsidRPr="00C825B7" w:rsidRDefault="009F63D8" w:rsidP="009F63D8">
      <w:pPr>
        <w:rPr>
          <w:b/>
          <w:szCs w:val="24"/>
        </w:rPr>
      </w:pPr>
    </w:p>
    <w:p w14:paraId="40ADF384" w14:textId="7AC7AC2F" w:rsidR="0086517B" w:rsidRDefault="009F63D8" w:rsidP="00E90AD4">
      <w:pPr>
        <w:rPr>
          <w:b/>
          <w:lang w:val="en-US"/>
        </w:rPr>
      </w:pPr>
      <w:r w:rsidRPr="00A1233D">
        <w:rPr>
          <w:b/>
          <w:lang w:val="en-US"/>
        </w:rPr>
        <w:t>Performance Fee</w:t>
      </w:r>
    </w:p>
    <w:p w14:paraId="11924BA6" w14:textId="77777777" w:rsidR="00F12814" w:rsidRPr="00F12814" w:rsidRDefault="00F12814" w:rsidP="00E90AD4">
      <w:pPr>
        <w:rPr>
          <w:b/>
          <w:lang w:val="en-US"/>
        </w:rPr>
      </w:pPr>
    </w:p>
    <w:p w14:paraId="302A0E1E" w14:textId="77777777" w:rsidR="0086517B" w:rsidRPr="0086517B" w:rsidRDefault="0086517B" w:rsidP="0086517B">
      <w:pPr>
        <w:rPr>
          <w:rFonts w:cs="Arial"/>
        </w:rPr>
      </w:pPr>
      <w:r w:rsidRPr="0086517B">
        <w:rPr>
          <w:rFonts w:cs="Arial"/>
        </w:rPr>
        <w:t>In addition to the Investment Management Fee, the Investment Manager shall be entitled to receive out of the assets of the Fund attributable to Performance Fee Shares of the Fund a performance fee (the “</w:t>
      </w:r>
      <w:r w:rsidRPr="00CA2FE7">
        <w:rPr>
          <w:rFonts w:cs="Arial"/>
          <w:b/>
          <w:bCs/>
        </w:rPr>
        <w:t>Performance Fee</w:t>
      </w:r>
      <w:r w:rsidRPr="0086517B">
        <w:rPr>
          <w:rFonts w:cs="Arial"/>
        </w:rPr>
        <w:t>”) which will accrue on each Valuation Day and be crystallised and paid either annually in arrears at the end of each minimum twelve month period ending on 31 December in each year or upon redemption of Shares (the “</w:t>
      </w:r>
      <w:r w:rsidRPr="00CA2FE7">
        <w:rPr>
          <w:rFonts w:cs="Arial"/>
          <w:b/>
          <w:bCs/>
        </w:rPr>
        <w:t>Calculation Period</w:t>
      </w:r>
      <w:r w:rsidRPr="0086517B">
        <w:rPr>
          <w:rFonts w:cs="Arial"/>
        </w:rPr>
        <w:t>”).</w:t>
      </w:r>
    </w:p>
    <w:p w14:paraId="586C6931" w14:textId="77777777" w:rsidR="0086517B" w:rsidRPr="0086517B" w:rsidRDefault="0086517B" w:rsidP="0086517B">
      <w:pPr>
        <w:rPr>
          <w:rFonts w:cs="Arial"/>
        </w:rPr>
      </w:pPr>
    </w:p>
    <w:p w14:paraId="520C63E7" w14:textId="77777777" w:rsidR="0086517B" w:rsidRPr="0086517B" w:rsidRDefault="0086517B" w:rsidP="0086517B">
      <w:pPr>
        <w:rPr>
          <w:rFonts w:cs="Arial"/>
        </w:rPr>
      </w:pPr>
      <w:r w:rsidRPr="0086517B">
        <w:rPr>
          <w:rFonts w:cs="Arial"/>
        </w:rPr>
        <w:t>The entitlement to the Performance Fee arises when the percentage return is above that of the Benchmark (as defined below) (outperformance of the Benchmark). The Performance Fee shall be in an amount up to 15% per annum of the outperformance of the Benchmark.</w:t>
      </w:r>
    </w:p>
    <w:p w14:paraId="40616C5C" w14:textId="77777777" w:rsidR="0086517B" w:rsidRPr="0086517B" w:rsidRDefault="0086517B" w:rsidP="0086517B">
      <w:pPr>
        <w:rPr>
          <w:rFonts w:cs="Arial"/>
        </w:rPr>
      </w:pPr>
    </w:p>
    <w:p w14:paraId="7486DE49" w14:textId="77777777" w:rsidR="0086517B" w:rsidRPr="0086517B" w:rsidRDefault="0086517B" w:rsidP="0086517B">
      <w:pPr>
        <w:rPr>
          <w:rFonts w:cs="Arial"/>
        </w:rPr>
      </w:pPr>
      <w:r w:rsidRPr="0086517B">
        <w:rPr>
          <w:rFonts w:cs="Arial"/>
        </w:rPr>
        <w:t xml:space="preserve">Dividend distributions paid out shall not be deemed to impact the performance of the Share Class. The percentage return is the difference between the Net Asset Value per Share on the last Valuation Day of the previous Calculation Period and the Net Asset Value per Share on the last Valuation Day of the current Calculation Period before the deduction of Performance Fees (or in the case of the first Calculation Period, the difference between the initial offer price applicable to the relevant class and the Net Asset Value per Share on the last Valuation Day of the current Calculation Period before the deduction of Performance Fees). The percentage return is calculated net of all costs but is calculated without deduction of the Performance Fee itself provided that in doing so it is in the investor’s best interest. </w:t>
      </w:r>
    </w:p>
    <w:p w14:paraId="750A80B1" w14:textId="77777777" w:rsidR="0086517B" w:rsidRPr="0086517B" w:rsidRDefault="0086517B" w:rsidP="0086517B">
      <w:pPr>
        <w:rPr>
          <w:rFonts w:cs="Arial"/>
        </w:rPr>
      </w:pPr>
    </w:p>
    <w:p w14:paraId="2EF7EEFA" w14:textId="6A486DC0" w:rsidR="0086517B" w:rsidRPr="0086517B" w:rsidRDefault="0086517B" w:rsidP="0086517B">
      <w:pPr>
        <w:rPr>
          <w:rFonts w:cs="Arial"/>
        </w:rPr>
      </w:pPr>
      <w:r w:rsidRPr="0086517B">
        <w:rPr>
          <w:rFonts w:cs="Arial"/>
        </w:rPr>
        <w:t xml:space="preserve">The “Benchmark” is the </w:t>
      </w:r>
      <w:r w:rsidR="00834C3D">
        <w:rPr>
          <w:rFonts w:cs="Arial"/>
        </w:rPr>
        <w:t xml:space="preserve">MSCI World </w:t>
      </w:r>
      <w:r w:rsidR="00BC1E71">
        <w:rPr>
          <w:rFonts w:cs="Arial"/>
        </w:rPr>
        <w:t xml:space="preserve">All Cap </w:t>
      </w:r>
      <w:r w:rsidR="00834C3D">
        <w:rPr>
          <w:rFonts w:cs="Arial"/>
        </w:rPr>
        <w:t xml:space="preserve">Index </w:t>
      </w:r>
      <w:r w:rsidRPr="0086517B">
        <w:rPr>
          <w:rFonts w:cs="Arial"/>
        </w:rPr>
        <w:t>(Bloomberg ticker:</w:t>
      </w:r>
      <w:r w:rsidR="00EB02E1">
        <w:rPr>
          <w:rFonts w:cs="Arial"/>
        </w:rPr>
        <w:t xml:space="preserve"> </w:t>
      </w:r>
      <w:r w:rsidR="00CE35F1" w:rsidRPr="00CE35F1">
        <w:rPr>
          <w:rFonts w:cs="Arial"/>
        </w:rPr>
        <w:t>MXWOAC Index</w:t>
      </w:r>
      <w:r w:rsidRPr="0086517B">
        <w:rPr>
          <w:rFonts w:cs="Arial"/>
        </w:rPr>
        <w:t>) in the appropriate currency.</w:t>
      </w:r>
    </w:p>
    <w:p w14:paraId="7897BD37" w14:textId="77777777" w:rsidR="0086517B" w:rsidRPr="0086517B" w:rsidRDefault="0086517B" w:rsidP="0086517B">
      <w:pPr>
        <w:rPr>
          <w:rFonts w:cs="Arial"/>
        </w:rPr>
      </w:pPr>
    </w:p>
    <w:p w14:paraId="7042E35C" w14:textId="77777777" w:rsidR="0086517B" w:rsidRPr="0086517B" w:rsidRDefault="0086517B" w:rsidP="0086517B">
      <w:pPr>
        <w:rPr>
          <w:rFonts w:cs="Arial"/>
        </w:rPr>
      </w:pPr>
      <w:r w:rsidRPr="0086517B">
        <w:rPr>
          <w:rFonts w:cs="Arial"/>
        </w:rPr>
        <w:t>The amount for the Performance Fee is recalculated on each Valuation Day subject to the aforementioned conditions on the basis of the outperformance since the start of the Calculation Period and a reserve is formed for the respective Fund or, if applicable, for the respective class of Shares. The recalculated amount of Performance Fee is compared on each Valuation Day with the amount set aside on the previous Valuation Day. The amount set aside on the previous day is adjusted up or down accordingly on the basis of the difference found between the newly calculated amount and the amount previously set aside. Note the reference value applicable to the percentage return on a Valuation Day is based on the previous Valuation Day’s Net Asset Value per Share multiplied by the current Shares in issue of the respective class of Shares on that Valuation Day. The reference value used to calculate the Benchmark on a Valuation Day is based on the Net Asset Value of the class at the start of the Calculation Period adjusted for cumulative subscriptions and redemptions of the class from the start of the Calculation Period.</w:t>
      </w:r>
    </w:p>
    <w:p w14:paraId="51192E57" w14:textId="77777777" w:rsidR="0086517B" w:rsidRPr="0086517B" w:rsidRDefault="0086517B" w:rsidP="0086517B">
      <w:pPr>
        <w:rPr>
          <w:rFonts w:cs="Arial"/>
        </w:rPr>
      </w:pPr>
    </w:p>
    <w:p w14:paraId="4E13AB6D" w14:textId="77777777" w:rsidR="0086517B" w:rsidRPr="0086517B" w:rsidRDefault="0086517B" w:rsidP="0086517B">
      <w:pPr>
        <w:rPr>
          <w:rFonts w:cs="Arial"/>
        </w:rPr>
      </w:pPr>
      <w:r w:rsidRPr="0086517B">
        <w:rPr>
          <w:rFonts w:cs="Arial"/>
        </w:rPr>
        <w:t>Only at the end of the Calculation Period is any Performance Fee owed to the Investment Manager and calculated under the aforementioned conditions actually paid out. The Performance Fee amounts (if any) accrued during the Calculation Period will be payable out of the assets of the Fund within 14 Business Days of the end of the Calculation Period. If a Share is redeemed during a Calculation Period, the Performance Fee amount calculated in respect of such Share as at the Business Day as of which such Share is redeemed shall be crystallised and become payable to the Investment Manager within 14 Business Days following the end of the month in which such redemption takes place.</w:t>
      </w:r>
    </w:p>
    <w:p w14:paraId="63A45D0C" w14:textId="77777777" w:rsidR="0086517B" w:rsidRPr="0086517B" w:rsidRDefault="0086517B" w:rsidP="0086517B">
      <w:pPr>
        <w:rPr>
          <w:rFonts w:cs="Arial"/>
        </w:rPr>
      </w:pPr>
    </w:p>
    <w:p w14:paraId="33927724" w14:textId="77777777" w:rsidR="0086517B" w:rsidRPr="0086517B" w:rsidRDefault="0086517B" w:rsidP="0086517B">
      <w:pPr>
        <w:rPr>
          <w:rFonts w:cs="Arial"/>
        </w:rPr>
      </w:pPr>
      <w:r w:rsidRPr="0086517B">
        <w:rPr>
          <w:rFonts w:cs="Arial"/>
        </w:rPr>
        <w:t xml:space="preserve">This ensures that the Performance Fee is only paid out if the percentage return on the Fund in the relevant class of Shares on which a Performance Fee is payable measured over an entire Calculation Period is above that of the Benchmark (outperformance of the Benchmark). </w:t>
      </w:r>
    </w:p>
    <w:p w14:paraId="14F17B7E" w14:textId="77777777" w:rsidR="0086517B" w:rsidRPr="0086517B" w:rsidRDefault="0086517B" w:rsidP="0086517B">
      <w:pPr>
        <w:rPr>
          <w:rFonts w:cs="Arial"/>
        </w:rPr>
      </w:pPr>
    </w:p>
    <w:p w14:paraId="0F1B5B55" w14:textId="77777777" w:rsidR="0086517B" w:rsidRPr="0086517B" w:rsidRDefault="0086517B" w:rsidP="0086517B">
      <w:pPr>
        <w:rPr>
          <w:rFonts w:cs="Arial"/>
        </w:rPr>
      </w:pPr>
      <w:r w:rsidRPr="0086517B">
        <w:rPr>
          <w:rFonts w:cs="Arial"/>
        </w:rPr>
        <w:t xml:space="preserve">The first Calculation Period for the purposes of calculating the Performance Fee shall be from the closing of the initial offer period in respect of the relevant class of Shares of the Fund until 31 December in the same accounting period. Investors should note that relative underperformance of the percentage return against the Benchmark Return in previous Calculation Periods will be clawed back before the Performance Fee becomes due in subsequent periods. Accordingly, if the Fund underperforms the Benchmark in a twelve month period ending on 31 December in any year, the relevant Calculation Period shall be rolled over for a further twelve month period until such time as such relative underperformance has been cleared. </w:t>
      </w:r>
    </w:p>
    <w:p w14:paraId="278B7517" w14:textId="77777777" w:rsidR="0086517B" w:rsidRPr="0086517B" w:rsidRDefault="0086517B" w:rsidP="0086517B">
      <w:pPr>
        <w:rPr>
          <w:rFonts w:cs="Arial"/>
        </w:rPr>
      </w:pPr>
    </w:p>
    <w:p w14:paraId="2C17C973" w14:textId="77777777" w:rsidR="0086517B" w:rsidRPr="0086517B" w:rsidRDefault="0086517B" w:rsidP="0086517B">
      <w:pPr>
        <w:rPr>
          <w:rFonts w:cs="Arial"/>
        </w:rPr>
      </w:pPr>
      <w:r w:rsidRPr="0086517B">
        <w:rPr>
          <w:rFonts w:cs="Arial"/>
        </w:rPr>
        <w:t xml:space="preserve">The Performance Fee shall be calculated by the Administrator based on the finalised Net Asset Value per Share (adjusted for any dividend) of the relevant class of Shares of the Fund as at the relevant Valuation Day. The calculation of the Performance Fee is verified by the Depositary and not open to the possibility of manipulation. </w:t>
      </w:r>
    </w:p>
    <w:p w14:paraId="27980F4E" w14:textId="77777777" w:rsidR="0086517B" w:rsidRPr="0086517B" w:rsidRDefault="0086517B" w:rsidP="0086517B">
      <w:pPr>
        <w:rPr>
          <w:rFonts w:cs="Arial"/>
        </w:rPr>
      </w:pPr>
    </w:p>
    <w:p w14:paraId="0F8FE49A" w14:textId="77777777" w:rsidR="0086517B" w:rsidRPr="0086517B" w:rsidRDefault="0086517B" w:rsidP="0086517B">
      <w:pPr>
        <w:rPr>
          <w:rFonts w:cs="Arial"/>
        </w:rPr>
      </w:pPr>
      <w:r w:rsidRPr="0086517B">
        <w:rPr>
          <w:rFonts w:cs="Arial"/>
        </w:rPr>
        <w:t xml:space="preserve">The Performance Fee model and the Benchmark are consistent with the investment policy of the Fund. </w:t>
      </w:r>
    </w:p>
    <w:p w14:paraId="1E41A371" w14:textId="77777777" w:rsidR="0086517B" w:rsidRPr="0086517B" w:rsidRDefault="0086517B" w:rsidP="0086517B">
      <w:pPr>
        <w:rPr>
          <w:rFonts w:cs="Arial"/>
        </w:rPr>
      </w:pPr>
    </w:p>
    <w:p w14:paraId="5727E211" w14:textId="77777777" w:rsidR="0086517B" w:rsidRPr="00CA2FE7" w:rsidRDefault="0086517B" w:rsidP="0086517B">
      <w:pPr>
        <w:rPr>
          <w:rFonts w:cs="Arial"/>
          <w:b/>
          <w:bCs/>
        </w:rPr>
      </w:pPr>
      <w:r w:rsidRPr="00CA2FE7">
        <w:rPr>
          <w:rFonts w:cs="Arial"/>
          <w:b/>
          <w:bCs/>
        </w:rPr>
        <w:t>Included in the calculation of the Performance Fee shall be net realised and unrealised capital gains plus net realised and unrealised capital losses as at the end of the relevant Calculation Period. As a result, Performance Fees may be paid on unrealised gains which may subsequently never be realised.</w:t>
      </w:r>
    </w:p>
    <w:p w14:paraId="301892F9" w14:textId="77777777" w:rsidR="0086517B" w:rsidRPr="00CA2FE7" w:rsidRDefault="0086517B" w:rsidP="0086517B">
      <w:pPr>
        <w:rPr>
          <w:rFonts w:cs="Arial"/>
          <w:b/>
          <w:bCs/>
        </w:rPr>
      </w:pPr>
    </w:p>
    <w:p w14:paraId="0330CA44" w14:textId="64A003DE" w:rsidR="006E7003" w:rsidRPr="006E7003" w:rsidRDefault="0086517B" w:rsidP="006E7003">
      <w:pPr>
        <w:rPr>
          <w:rFonts w:cs="Arial"/>
        </w:rPr>
      </w:pPr>
      <w:r w:rsidRPr="0086517B">
        <w:rPr>
          <w:rFonts w:cs="Arial"/>
        </w:rPr>
        <w:t xml:space="preserve">Appendix 1 hereto includes an illustrative example showing the impact of different investment performance and resulting Performance Fee outcomes, including the rollover of a Calculation Period where necessary to allow for recovery of underperformance in previous calendar years. This illustration has been simplified and is purely shown to aid an investor’s understanding of scenarios when a Performance Fee would or would not be paid. </w:t>
      </w:r>
    </w:p>
    <w:p w14:paraId="71FFE2E7" w14:textId="7F89180F" w:rsidR="009F63D8" w:rsidRDefault="009F63D8" w:rsidP="009F63D8">
      <w:pPr>
        <w:pStyle w:val="Body"/>
        <w:rPr>
          <w:b/>
          <w:lang w:val="en-US"/>
        </w:rPr>
      </w:pPr>
      <w:r>
        <w:rPr>
          <w:b/>
          <w:lang w:val="en-US"/>
        </w:rPr>
        <w:t xml:space="preserve">Fees and charges </w:t>
      </w:r>
      <w:r w:rsidRPr="007E3D66">
        <w:rPr>
          <w:b/>
          <w:lang w:val="en-US"/>
        </w:rPr>
        <w:t>deducted from capital</w:t>
      </w:r>
    </w:p>
    <w:p w14:paraId="00B0BAAC" w14:textId="77777777" w:rsidR="009F63D8" w:rsidRDefault="009F63D8" w:rsidP="009F63D8">
      <w:pPr>
        <w:rPr>
          <w:szCs w:val="24"/>
        </w:rPr>
      </w:pPr>
    </w:p>
    <w:p w14:paraId="16F60A9D" w14:textId="19DC271E" w:rsidR="009F63D8" w:rsidRDefault="009F63D8" w:rsidP="009F63D8">
      <w:pPr>
        <w:rPr>
          <w:szCs w:val="24"/>
        </w:rPr>
      </w:pPr>
      <w:r w:rsidRPr="00E82346">
        <w:rPr>
          <w:szCs w:val="24"/>
        </w:rPr>
        <w:t xml:space="preserve">The Fund normally pays its </w:t>
      </w:r>
      <w:r w:rsidR="001E7562">
        <w:rPr>
          <w:szCs w:val="24"/>
        </w:rPr>
        <w:t xml:space="preserve">Management Company Fee, Investment </w:t>
      </w:r>
      <w:r w:rsidRPr="00E82346">
        <w:rPr>
          <w:szCs w:val="24"/>
        </w:rPr>
        <w:t xml:space="preserve">Management Fee, Performance Fee, Administration Fee, Custody Fee and other fees and expenses out of income. However, </w:t>
      </w:r>
      <w:r>
        <w:rPr>
          <w:szCs w:val="24"/>
        </w:rPr>
        <w:t xml:space="preserve">for Distributing Share Classes, </w:t>
      </w:r>
      <w:r w:rsidRPr="00E82346">
        <w:rPr>
          <w:szCs w:val="24"/>
        </w:rPr>
        <w:t xml:space="preserve">where insufficient income or capital gains </w:t>
      </w:r>
      <w:r>
        <w:rPr>
          <w:szCs w:val="24"/>
        </w:rPr>
        <w:t xml:space="preserve">are </w:t>
      </w:r>
      <w:r w:rsidRPr="00E82346">
        <w:rPr>
          <w:szCs w:val="24"/>
        </w:rPr>
        <w:t>available, the Company may pay some or all of the above fees and expenses out of realised capital gains or, if needs be, out of capital</w:t>
      </w:r>
      <w:r>
        <w:rPr>
          <w:szCs w:val="24"/>
        </w:rPr>
        <w:t xml:space="preserve"> of the relevant Distributing Share Class in order to maximise the amount available for distribution to the holders of Distributing Shares. </w:t>
      </w:r>
    </w:p>
    <w:p w14:paraId="7801F05D" w14:textId="77777777" w:rsidR="009F63D8" w:rsidRPr="00E82346" w:rsidRDefault="009F63D8" w:rsidP="009F63D8">
      <w:pPr>
        <w:rPr>
          <w:szCs w:val="24"/>
        </w:rPr>
      </w:pPr>
    </w:p>
    <w:p w14:paraId="7D6F287D" w14:textId="77777777" w:rsidR="009F63D8" w:rsidRPr="00E82346" w:rsidRDefault="009F63D8" w:rsidP="009F63D8">
      <w:pPr>
        <w:rPr>
          <w:szCs w:val="24"/>
        </w:rPr>
      </w:pPr>
      <w:r w:rsidRPr="00DA7698">
        <w:rPr>
          <w:szCs w:val="24"/>
        </w:rPr>
        <w:t>Where the fees and expenses are deducted from the Fund’s capital rather than income generated by the Fund this may constrain growth and could erode capital, as the capital of the Fund available for investment in the future and for capital growth may be reduced.</w:t>
      </w:r>
      <w:r w:rsidRPr="00E82346">
        <w:rPr>
          <w:szCs w:val="24"/>
        </w:rPr>
        <w:t xml:space="preserve"> Thus, on redemption of holdings, Shareholders may not receive back the full amount invested. The policy of charging fees and expenses to capital will also have the effect of lowering the capital value of your investment and constraining the potential for future capital growth. As fees and expenses may be charged to capital, investors should note the greater risk of capital erosion given the lack of potential capital growth and the likelihood that due to capital erosion, the value of future returns in the Fund could be diminished.</w:t>
      </w:r>
    </w:p>
    <w:p w14:paraId="2C714004" w14:textId="77777777" w:rsidR="009F63D8" w:rsidRDefault="009F63D8" w:rsidP="009F63D8">
      <w:pPr>
        <w:pStyle w:val="Body"/>
        <w:spacing w:before="0"/>
        <w:rPr>
          <w:b/>
          <w:lang w:val="en-US"/>
        </w:rPr>
      </w:pPr>
    </w:p>
    <w:p w14:paraId="0FB1B5FE" w14:textId="77777777" w:rsidR="009F63D8" w:rsidRDefault="009F63D8" w:rsidP="009F63D8">
      <w:pPr>
        <w:pStyle w:val="BodyText"/>
        <w:rPr>
          <w:b/>
        </w:rPr>
      </w:pPr>
      <w:r>
        <w:rPr>
          <w:b/>
        </w:rPr>
        <w:t>ESTABLISHMENT AND OPERATING EXPENSES</w:t>
      </w:r>
    </w:p>
    <w:p w14:paraId="2F9F9143" w14:textId="35F44DE5" w:rsidR="009F63D8" w:rsidRDefault="009F63D8" w:rsidP="009F63D8">
      <w:pPr>
        <w:rPr>
          <w:szCs w:val="24"/>
        </w:rPr>
      </w:pPr>
      <w:r>
        <w:rPr>
          <w:szCs w:val="24"/>
        </w:rPr>
        <w:t xml:space="preserve">The Fund’s establishment and organisational expenses </w:t>
      </w:r>
      <w:r w:rsidR="00843506">
        <w:rPr>
          <w:szCs w:val="24"/>
        </w:rPr>
        <w:t xml:space="preserve">did not </w:t>
      </w:r>
      <w:r>
        <w:rPr>
          <w:szCs w:val="24"/>
        </w:rPr>
        <w:t>exceed USD</w:t>
      </w:r>
      <w:r w:rsidR="005B1D53">
        <w:rPr>
          <w:szCs w:val="24"/>
        </w:rPr>
        <w:t xml:space="preserve"> 40,000</w:t>
      </w:r>
      <w:r>
        <w:rPr>
          <w:szCs w:val="24"/>
        </w:rPr>
        <w:t xml:space="preserve">. These expenses </w:t>
      </w:r>
      <w:r w:rsidR="00843506">
        <w:rPr>
          <w:szCs w:val="24"/>
        </w:rPr>
        <w:t xml:space="preserve">are </w:t>
      </w:r>
      <w:r>
        <w:rPr>
          <w:szCs w:val="24"/>
        </w:rPr>
        <w:t>amortised over the first five annual accounting periods of the Fund or such shorter period as the Directors</w:t>
      </w:r>
      <w:r w:rsidR="006B12F1">
        <w:rPr>
          <w:szCs w:val="24"/>
        </w:rPr>
        <w:t>, in consultation with the Manager,</w:t>
      </w:r>
      <w:r>
        <w:rPr>
          <w:szCs w:val="24"/>
        </w:rPr>
        <w:t xml:space="preserve"> may determine.  The effect of this accounting treatment is not expected to be material to the financial statements of the Company. If the effect of the accounting treatment becomes material in the future, there may be a requirement to write off the unamortised balance of establishment and organisational costs, which will be reflected in the Net Asset Value of the Fund.</w:t>
      </w:r>
    </w:p>
    <w:p w14:paraId="179495D4" w14:textId="77777777" w:rsidR="009F63D8" w:rsidRDefault="009F63D8" w:rsidP="009F63D8">
      <w:pPr>
        <w:rPr>
          <w:szCs w:val="24"/>
        </w:rPr>
      </w:pPr>
    </w:p>
    <w:p w14:paraId="3A449B5E" w14:textId="4C6BA63A" w:rsidR="009F63D8" w:rsidRDefault="009F63D8" w:rsidP="009F63D8">
      <w:pPr>
        <w:pStyle w:val="BodyText"/>
      </w:pPr>
      <w:r>
        <w:t>Expenses as may arise will be allocated to the Fund when, in the opinion of the Directors,</w:t>
      </w:r>
      <w:r w:rsidR="006B12F1">
        <w:t xml:space="preserve"> after consultation with the Manager,</w:t>
      </w:r>
      <w:r>
        <w:t xml:space="preserve"> they relate to the Fund. If an expense is not readily attributable to any particular Fund, the Directors</w:t>
      </w:r>
      <w:r w:rsidR="006B12F1">
        <w:t>, in consultation with the Manager,</w:t>
      </w:r>
      <w:r>
        <w:t xml:space="preserve"> shall determine the basis on which the expense shall be allocated between the Funds of the Company.  In such cases, the expense will </w:t>
      </w:r>
      <w:r>
        <w:lastRenderedPageBreak/>
        <w:t xml:space="preserve">normally be allocated to the Funds pro rata to the value of the Net Asset Value of the relevant Fund. Accordingly, in such cases the Fund will bear its proportionate share of such expenses. To the extent that expenses are attributable to a specific Class of the Fund, that Class shall bear such expenses. </w:t>
      </w:r>
    </w:p>
    <w:p w14:paraId="75092536" w14:textId="5A098A37" w:rsidR="009F63D8" w:rsidRDefault="009F63D8" w:rsidP="009F63D8">
      <w:pPr>
        <w:pStyle w:val="BodyText"/>
      </w:pPr>
      <w:r>
        <w:t xml:space="preserve">Certain other costs and expenses incurred in the operation of a Fund will be borne out of the assets of the Fund including, without limitation, registration fees and other expenses relating to regulatory, supervisory or fiscal authorities in various jurisdictions, maintaining the Fund and the Shares with any governmental or regulatory authority or with any regulated market or exchange; compliance services, </w:t>
      </w:r>
      <w:r w:rsidR="00FC5D87">
        <w:t xml:space="preserve">updating, </w:t>
      </w:r>
      <w:r>
        <w:t>writing, typesetting and printing the Prospectus,</w:t>
      </w:r>
      <w:r w:rsidR="00FC5D87">
        <w:t xml:space="preserve"> Supplement, Key Information Document,</w:t>
      </w:r>
      <w:r>
        <w:t xml:space="preserve"> sales, literature and other documents for investors; </w:t>
      </w:r>
      <w:r w:rsidR="005704BC" w:rsidRPr="005704BC">
        <w:t>the preparation of industry reporting templates (such as the European MiFID template, European EST Template or equivalent documents)</w:t>
      </w:r>
      <w:r w:rsidR="005704BC">
        <w:t xml:space="preserve"> for investors,</w:t>
      </w:r>
      <w:r w:rsidR="005704BC" w:rsidRPr="005704BC">
        <w:t xml:space="preserve"> </w:t>
      </w:r>
      <w:r>
        <w:t>taxes, commissions and brokerage fees; issuing, purchasing, repurchasing and redeeming Shares; transfer agents, company secretarial fees and expenses, anti-money laundering reporting officer fees and expenses; dividend dispersing agents, Shareholder servicing agents and registrars; printing, mailing, auditing, accounting and legal expenses; reports to Shareholders and governmental agencies; meetings of Shareholders and proxy solicitations therefore (if any);</w:t>
      </w:r>
      <w:r w:rsidR="001B71E4" w:rsidRPr="001B71E4">
        <w:t xml:space="preserve"> proxy voting and investment stewardship advisory services</w:t>
      </w:r>
      <w:r w:rsidR="001B71E4">
        <w:t>;</w:t>
      </w:r>
      <w:r>
        <w:t xml:space="preserve"> insurance premiums; association and membership dues; and such non-recurring and extraordinary items as may arise (the “</w:t>
      </w:r>
      <w:r w:rsidRPr="005704F6">
        <w:rPr>
          <w:b/>
        </w:rPr>
        <w:t>Establishment and</w:t>
      </w:r>
      <w:r>
        <w:t xml:space="preserve"> </w:t>
      </w:r>
      <w:r>
        <w:rPr>
          <w:b/>
        </w:rPr>
        <w:t>Operating Expenses</w:t>
      </w:r>
      <w:r>
        <w:t xml:space="preserve">”). </w:t>
      </w:r>
    </w:p>
    <w:p w14:paraId="7AE56E11" w14:textId="77777777" w:rsidR="009F63D8" w:rsidRPr="005D6D7C" w:rsidRDefault="009F63D8" w:rsidP="009F63D8">
      <w:pPr>
        <w:pStyle w:val="BodyText"/>
      </w:pPr>
      <w:r>
        <w:t>The Investment Manager and / or the distributor may, from time to time and at its sole discretion, use part or all of the fees it receives to remunerate certain financial intermediaries. In addition, the Investment Manager and / or the distributor may, from time to time and at its sole discretion, rebate any or all of its fees to some or all Shareholders.</w:t>
      </w:r>
    </w:p>
    <w:p w14:paraId="4EBC8048" w14:textId="77777777" w:rsidR="009F63D8" w:rsidRDefault="009F63D8" w:rsidP="009F63D8">
      <w:pPr>
        <w:pStyle w:val="BodyText"/>
        <w:rPr>
          <w:i/>
          <w:lang w:val="en-US"/>
        </w:rPr>
      </w:pPr>
      <w:r>
        <w:br w:type="page"/>
      </w:r>
    </w:p>
    <w:p w14:paraId="024F7F02" w14:textId="77777777" w:rsidR="00662044" w:rsidRPr="00470248" w:rsidRDefault="00662044" w:rsidP="0098344C">
      <w:pPr>
        <w:pStyle w:val="PROSPECTUSSUMMARY-LEVEL1"/>
        <w:jc w:val="center"/>
        <w:rPr>
          <w:bCs/>
          <w:lang w:val="en-US"/>
        </w:rPr>
      </w:pPr>
      <w:bookmarkStart w:id="27" w:name="_DV_M200"/>
      <w:bookmarkStart w:id="28" w:name="_Toc416354292"/>
      <w:bookmarkStart w:id="29" w:name="_Toc184725739"/>
      <w:bookmarkEnd w:id="27"/>
      <w:r w:rsidRPr="00470248">
        <w:rPr>
          <w:bCs/>
          <w:lang w:val="en-US"/>
        </w:rPr>
        <w:lastRenderedPageBreak/>
        <w:t>Subscription and Redemption of Shares</w:t>
      </w:r>
      <w:bookmarkEnd w:id="28"/>
      <w:bookmarkEnd w:id="29"/>
    </w:p>
    <w:p w14:paraId="3EC824DA" w14:textId="77777777" w:rsidR="00EE4D04" w:rsidRPr="00470248" w:rsidRDefault="00EE4D04" w:rsidP="0098344C">
      <w:pPr>
        <w:pStyle w:val="PROSPECTUS-LEVEL2"/>
        <w:numPr>
          <w:ilvl w:val="0"/>
          <w:numId w:val="0"/>
        </w:numPr>
        <w:ind w:left="709" w:right="200" w:hanging="709"/>
        <w:rPr>
          <w:bCs/>
          <w:szCs w:val="24"/>
        </w:rPr>
      </w:pPr>
      <w:bookmarkStart w:id="30" w:name="_DV_M79"/>
      <w:bookmarkStart w:id="31" w:name="_DV_M80"/>
      <w:bookmarkStart w:id="32" w:name="_DV_M81"/>
      <w:bookmarkStart w:id="33" w:name="_DV_M86"/>
      <w:bookmarkStart w:id="34" w:name="_DV_M89"/>
      <w:bookmarkStart w:id="35" w:name="_DV_M90"/>
      <w:bookmarkEnd w:id="30"/>
      <w:bookmarkEnd w:id="31"/>
      <w:bookmarkEnd w:id="32"/>
      <w:bookmarkEnd w:id="33"/>
      <w:bookmarkEnd w:id="34"/>
      <w:bookmarkEnd w:id="35"/>
      <w:r w:rsidRPr="00470248">
        <w:rPr>
          <w:bCs/>
          <w:szCs w:val="24"/>
        </w:rPr>
        <w:t>Eligible Investors</w:t>
      </w:r>
    </w:p>
    <w:p w14:paraId="1F3A90B9" w14:textId="77777777" w:rsidR="00EE4D04" w:rsidRPr="00470248" w:rsidRDefault="00EE4D04" w:rsidP="0098344C">
      <w:pPr>
        <w:pStyle w:val="Body1"/>
        <w:ind w:left="0" w:right="200"/>
        <w:rPr>
          <w:rFonts w:eastAsia="MS Mincho"/>
          <w:szCs w:val="24"/>
        </w:rPr>
      </w:pPr>
      <w:r w:rsidRPr="00470248">
        <w:rPr>
          <w:rFonts w:eastAsia="MS Mincho"/>
          <w:szCs w:val="24"/>
        </w:rPr>
        <w:t xml:space="preserve">Subject to the section “Transfer of Shares” in the Prospectus, applicants will generally be obliged to certify that they are not U.S. Persons.  </w:t>
      </w:r>
    </w:p>
    <w:p w14:paraId="24CEC54D" w14:textId="77777777" w:rsidR="00EE4D04" w:rsidRPr="00470248" w:rsidRDefault="00EE4D04" w:rsidP="0098344C">
      <w:pPr>
        <w:keepNext/>
        <w:spacing w:after="240"/>
        <w:rPr>
          <w:rFonts w:eastAsia="MS Mincho"/>
          <w:szCs w:val="24"/>
        </w:rPr>
      </w:pPr>
      <w:r w:rsidRPr="00470248">
        <w:rPr>
          <w:rFonts w:eastAsia="MS Mincho"/>
          <w:szCs w:val="24"/>
        </w:rPr>
        <w:t>The Company and the Administrator reserve the right to reject in whole or in part any application for Shares. Where an application for Shares is rejected, the subscription monies will be returned to the applicant within 14 days of the date of such application at the applicant’s cost and risk and no interest or other compensation will be payable in respect of such returned monies.</w:t>
      </w:r>
    </w:p>
    <w:p w14:paraId="2B73E860" w14:textId="77777777" w:rsidR="00EE4D04" w:rsidRPr="00470248" w:rsidRDefault="00EE4D04" w:rsidP="0098344C">
      <w:pPr>
        <w:pStyle w:val="PROSPECTUS-LEVEL2"/>
        <w:numPr>
          <w:ilvl w:val="0"/>
          <w:numId w:val="0"/>
        </w:numPr>
        <w:ind w:left="709" w:hanging="709"/>
        <w:rPr>
          <w:bCs/>
          <w:szCs w:val="24"/>
        </w:rPr>
      </w:pPr>
      <w:r w:rsidRPr="00470248">
        <w:rPr>
          <w:bCs/>
          <w:szCs w:val="24"/>
        </w:rPr>
        <w:t xml:space="preserve">Minimum Subscription </w:t>
      </w:r>
    </w:p>
    <w:p w14:paraId="18A676B5" w14:textId="77777777" w:rsidR="00EE4D04" w:rsidRPr="00470248" w:rsidRDefault="00EE4D04" w:rsidP="0098344C">
      <w:pPr>
        <w:pStyle w:val="BodyText"/>
        <w:rPr>
          <w:rFonts w:eastAsia="MS Mincho"/>
          <w:color w:val="000000"/>
        </w:rPr>
      </w:pPr>
      <w:r w:rsidRPr="00470248">
        <w:rPr>
          <w:rFonts w:eastAsia="MS Mincho"/>
          <w:color w:val="000000"/>
        </w:rPr>
        <w:t xml:space="preserve">Unless otherwise determined by the Company, the minimum initial subscription for each class of Share is as disclosed in </w:t>
      </w:r>
      <w:r w:rsidRPr="00470248">
        <w:rPr>
          <w:rFonts w:eastAsia="MS Mincho"/>
          <w:i/>
          <w:color w:val="000000"/>
        </w:rPr>
        <w:t>“</w:t>
      </w:r>
      <w:r w:rsidRPr="00470248">
        <w:rPr>
          <w:rFonts w:eastAsia="MS Mincho"/>
          <w:color w:val="000000"/>
        </w:rPr>
        <w:t>The Fund</w:t>
      </w:r>
      <w:r w:rsidRPr="00470248">
        <w:rPr>
          <w:rFonts w:eastAsia="MS Mincho"/>
          <w:i/>
          <w:color w:val="000000"/>
        </w:rPr>
        <w:t>”</w:t>
      </w:r>
      <w:r w:rsidRPr="00470248">
        <w:rPr>
          <w:rFonts w:eastAsia="MS Mincho"/>
          <w:color w:val="000000"/>
        </w:rPr>
        <w:t xml:space="preserve"> section of this Supplement. </w:t>
      </w:r>
    </w:p>
    <w:p w14:paraId="4524AA56" w14:textId="77777777" w:rsidR="00EE4D04" w:rsidRPr="00470248" w:rsidRDefault="00EE4D04" w:rsidP="0098344C">
      <w:pPr>
        <w:pStyle w:val="PROSPECTUS-LEVEL2"/>
        <w:numPr>
          <w:ilvl w:val="0"/>
          <w:numId w:val="0"/>
        </w:numPr>
        <w:ind w:left="709" w:hanging="709"/>
        <w:rPr>
          <w:rFonts w:eastAsia="MS Mincho"/>
          <w:bCs/>
          <w:szCs w:val="24"/>
        </w:rPr>
      </w:pPr>
      <w:r w:rsidRPr="00470248">
        <w:rPr>
          <w:rFonts w:eastAsia="MS Mincho"/>
          <w:bCs/>
          <w:szCs w:val="24"/>
        </w:rPr>
        <w:t>Minimum Holding</w:t>
      </w:r>
    </w:p>
    <w:p w14:paraId="2AA78201" w14:textId="77777777" w:rsidR="00EE4D04" w:rsidRPr="00470248" w:rsidRDefault="00EE4D04" w:rsidP="0098344C">
      <w:pPr>
        <w:rPr>
          <w:szCs w:val="24"/>
        </w:rPr>
      </w:pPr>
      <w:r w:rsidRPr="00470248">
        <w:rPr>
          <w:szCs w:val="24"/>
        </w:rPr>
        <w:t xml:space="preserve">A Shareholder may not make a partial redemption of Shares which would result in less than the minimum holding amount, specified for the relevant class of Shares as disclosed </w:t>
      </w:r>
      <w:r w:rsidRPr="00470248">
        <w:rPr>
          <w:rFonts w:eastAsia="MS Mincho"/>
          <w:color w:val="000000"/>
          <w:szCs w:val="24"/>
        </w:rPr>
        <w:t xml:space="preserve">in </w:t>
      </w:r>
      <w:r w:rsidRPr="00470248">
        <w:rPr>
          <w:rFonts w:eastAsia="MS Mincho"/>
          <w:i/>
          <w:color w:val="000000"/>
          <w:szCs w:val="24"/>
        </w:rPr>
        <w:t>“</w:t>
      </w:r>
      <w:r w:rsidRPr="00470248">
        <w:rPr>
          <w:rFonts w:eastAsia="MS Mincho"/>
          <w:color w:val="000000"/>
          <w:szCs w:val="24"/>
        </w:rPr>
        <w:t>The Fund</w:t>
      </w:r>
      <w:r w:rsidRPr="00470248">
        <w:rPr>
          <w:rFonts w:eastAsia="MS Mincho"/>
          <w:i/>
          <w:color w:val="000000"/>
          <w:szCs w:val="24"/>
        </w:rPr>
        <w:t>”</w:t>
      </w:r>
      <w:r w:rsidRPr="00470248">
        <w:rPr>
          <w:rFonts w:eastAsia="MS Mincho"/>
          <w:color w:val="000000"/>
          <w:szCs w:val="24"/>
        </w:rPr>
        <w:t xml:space="preserve"> section</w:t>
      </w:r>
      <w:r w:rsidRPr="00470248">
        <w:rPr>
          <w:szCs w:val="24"/>
        </w:rPr>
        <w:t xml:space="preserve"> (or its Class Currency equivalent) unless otherwise determined by the Company.</w:t>
      </w:r>
    </w:p>
    <w:p w14:paraId="77333541" w14:textId="77777777" w:rsidR="00EE4D04" w:rsidRPr="00470248" w:rsidRDefault="00EE4D04" w:rsidP="0098344C">
      <w:pPr>
        <w:rPr>
          <w:szCs w:val="24"/>
        </w:rPr>
      </w:pPr>
      <w:r w:rsidRPr="00470248">
        <w:rPr>
          <w:szCs w:val="24"/>
        </w:rPr>
        <w:t xml:space="preserve"> </w:t>
      </w:r>
    </w:p>
    <w:p w14:paraId="028EF71A" w14:textId="77777777" w:rsidR="00EE4D04" w:rsidRPr="00470248" w:rsidRDefault="00EE4D04" w:rsidP="0098344C">
      <w:pPr>
        <w:rPr>
          <w:szCs w:val="24"/>
        </w:rPr>
      </w:pPr>
      <w:r w:rsidRPr="00470248">
        <w:rPr>
          <w:szCs w:val="24"/>
        </w:rPr>
        <w:t>In the event that a Shareholder requests a partial redemption of their Shares which would result in such Shareholder holding less than the minimum holding amount above, the Company may, in its sole discretion (a) treat such redemption request as a redemption of the relevant Shareholder’s entire holding of the relevant Class of Shares; (b) reject such partial redemption request; or (c) accept such partial redemption request.  Shareholders will be notified before or after the relevant Dealing Day in the event that the Company determines to (i) treat such redemption request as a redemption of the relevant Shareholder’s entire holding of the relevant Class of Shares or (ii) reject such partial redemption request.</w:t>
      </w:r>
    </w:p>
    <w:p w14:paraId="41AA56EB" w14:textId="77777777" w:rsidR="00EE4D04" w:rsidRPr="00470248" w:rsidRDefault="00EE4D04" w:rsidP="0098344C">
      <w:pPr>
        <w:rPr>
          <w:szCs w:val="24"/>
        </w:rPr>
      </w:pPr>
    </w:p>
    <w:p w14:paraId="3ED5513C" w14:textId="77777777" w:rsidR="00EE4D04" w:rsidRPr="00470248" w:rsidRDefault="00EE4D04" w:rsidP="0098344C">
      <w:pPr>
        <w:pStyle w:val="Body1"/>
        <w:spacing w:after="0"/>
        <w:ind w:left="0"/>
        <w:rPr>
          <w:szCs w:val="24"/>
        </w:rPr>
      </w:pPr>
      <w:r w:rsidRPr="00470248">
        <w:rPr>
          <w:szCs w:val="24"/>
        </w:rPr>
        <w:t>Where the value of a Shareholder’s Shares has fallen below the minimum holding requirement due to a decline in the NAV of the Fund or an unfavourable change in currency rates, this will not be considered to be a breach of the minimum holding requirement.</w:t>
      </w:r>
    </w:p>
    <w:p w14:paraId="189A4FCE" w14:textId="77777777" w:rsidR="00EE4D04" w:rsidRPr="00470248" w:rsidRDefault="00EE4D04" w:rsidP="0098344C">
      <w:pPr>
        <w:pStyle w:val="Body1"/>
        <w:spacing w:after="0"/>
        <w:ind w:left="0"/>
        <w:rPr>
          <w:szCs w:val="24"/>
        </w:rPr>
      </w:pPr>
    </w:p>
    <w:p w14:paraId="72F43F9D" w14:textId="77777777" w:rsidR="00EE4D04" w:rsidRPr="00470248" w:rsidRDefault="00EE4D04" w:rsidP="0098344C">
      <w:pPr>
        <w:rPr>
          <w:b/>
          <w:szCs w:val="24"/>
        </w:rPr>
      </w:pPr>
      <w:r w:rsidRPr="00470248">
        <w:rPr>
          <w:b/>
          <w:szCs w:val="24"/>
        </w:rPr>
        <w:t>Initial Offer Price</w:t>
      </w:r>
    </w:p>
    <w:p w14:paraId="1F396991" w14:textId="77777777" w:rsidR="00EE4D04" w:rsidRPr="00470248" w:rsidRDefault="00EE4D04" w:rsidP="0098344C">
      <w:pPr>
        <w:rPr>
          <w:b/>
          <w:szCs w:val="24"/>
        </w:rPr>
      </w:pPr>
    </w:p>
    <w:p w14:paraId="78939925" w14:textId="70A0D437" w:rsidR="00EE4D04" w:rsidRPr="00470248" w:rsidRDefault="00EE4D04" w:rsidP="0098344C">
      <w:pPr>
        <w:rPr>
          <w:szCs w:val="24"/>
        </w:rPr>
      </w:pPr>
      <w:r w:rsidRPr="00470248">
        <w:rPr>
          <w:szCs w:val="24"/>
        </w:rPr>
        <w:t xml:space="preserve">Shares in each </w:t>
      </w:r>
      <w:r w:rsidR="001A634E">
        <w:rPr>
          <w:szCs w:val="24"/>
        </w:rPr>
        <w:t xml:space="preserve">unlaunched </w:t>
      </w:r>
      <w:r w:rsidRPr="00470248">
        <w:rPr>
          <w:szCs w:val="24"/>
        </w:rPr>
        <w:t xml:space="preserve">Class will be available at the initial offer price </w:t>
      </w:r>
      <w:r w:rsidR="00E14FA1">
        <w:rPr>
          <w:szCs w:val="24"/>
        </w:rPr>
        <w:t xml:space="preserve">from </w:t>
      </w:r>
      <w:r w:rsidR="00923C05">
        <w:rPr>
          <w:szCs w:val="24"/>
        </w:rPr>
        <w:t xml:space="preserve">9:00 am </w:t>
      </w:r>
      <w:r w:rsidR="006F43B5" w:rsidRPr="00470248">
        <w:rPr>
          <w:szCs w:val="24"/>
        </w:rPr>
        <w:t xml:space="preserve">(Irish Time) </w:t>
      </w:r>
      <w:r w:rsidR="0072360D">
        <w:rPr>
          <w:szCs w:val="24"/>
        </w:rPr>
        <w:t>on</w:t>
      </w:r>
      <w:r w:rsidR="009609BC">
        <w:rPr>
          <w:szCs w:val="24"/>
        </w:rPr>
        <w:t xml:space="preserve"> </w:t>
      </w:r>
      <w:r w:rsidR="005448FC">
        <w:rPr>
          <w:szCs w:val="24"/>
        </w:rPr>
        <w:t>[</w:t>
      </w:r>
      <w:r w:rsidR="005448FC">
        <w:rPr>
          <w:rFonts w:cs="Arial"/>
          <w:szCs w:val="24"/>
        </w:rPr>
        <w:t>●</w:t>
      </w:r>
      <w:r w:rsidR="005448FC">
        <w:rPr>
          <w:szCs w:val="24"/>
        </w:rPr>
        <w:t>]</w:t>
      </w:r>
      <w:r w:rsidR="00843506">
        <w:rPr>
          <w:szCs w:val="24"/>
        </w:rPr>
        <w:t xml:space="preserve"> </w:t>
      </w:r>
      <w:r w:rsidR="00AF4D2E">
        <w:rPr>
          <w:szCs w:val="24"/>
        </w:rPr>
        <w:t>202</w:t>
      </w:r>
      <w:r w:rsidR="00E53779">
        <w:rPr>
          <w:szCs w:val="24"/>
        </w:rPr>
        <w:t>5</w:t>
      </w:r>
      <w:r w:rsidR="00FE3ED5">
        <w:rPr>
          <w:szCs w:val="24"/>
        </w:rPr>
        <w:t xml:space="preserve"> </w:t>
      </w:r>
      <w:r w:rsidR="00E14FA1">
        <w:rPr>
          <w:szCs w:val="24"/>
        </w:rPr>
        <w:t xml:space="preserve">until </w:t>
      </w:r>
      <w:r w:rsidRPr="00470248">
        <w:rPr>
          <w:szCs w:val="24"/>
        </w:rPr>
        <w:t xml:space="preserve">5:00 pm (Irish Time) on </w:t>
      </w:r>
      <w:r w:rsidR="005448FC">
        <w:rPr>
          <w:szCs w:val="24"/>
        </w:rPr>
        <w:t>[</w:t>
      </w:r>
      <w:r w:rsidR="005448FC">
        <w:rPr>
          <w:rFonts w:cs="Arial"/>
          <w:szCs w:val="24"/>
        </w:rPr>
        <w:t>●</w:t>
      </w:r>
      <w:r w:rsidR="005448FC">
        <w:rPr>
          <w:szCs w:val="24"/>
        </w:rPr>
        <w:t>]</w:t>
      </w:r>
      <w:r w:rsidR="00843506">
        <w:rPr>
          <w:szCs w:val="24"/>
        </w:rPr>
        <w:t xml:space="preserve"> </w:t>
      </w:r>
      <w:r w:rsidR="00F36B89">
        <w:rPr>
          <w:szCs w:val="24"/>
        </w:rPr>
        <w:t>202</w:t>
      </w:r>
      <w:r w:rsidR="00E53779">
        <w:rPr>
          <w:szCs w:val="24"/>
        </w:rPr>
        <w:t>5</w:t>
      </w:r>
      <w:r w:rsidR="00733ABD">
        <w:rPr>
          <w:szCs w:val="24"/>
        </w:rPr>
        <w:t xml:space="preserve"> </w:t>
      </w:r>
      <w:r w:rsidRPr="00470248">
        <w:rPr>
          <w:szCs w:val="24"/>
        </w:rPr>
        <w:t>(the “</w:t>
      </w:r>
      <w:r w:rsidRPr="00470248">
        <w:rPr>
          <w:b/>
          <w:szCs w:val="24"/>
        </w:rPr>
        <w:t>Initial Offer Period</w:t>
      </w:r>
      <w:r w:rsidRPr="00470248">
        <w:rPr>
          <w:szCs w:val="24"/>
        </w:rPr>
        <w:t>”).</w:t>
      </w:r>
    </w:p>
    <w:p w14:paraId="5167067E" w14:textId="77777777" w:rsidR="00073D03" w:rsidRPr="00470248" w:rsidRDefault="00073D03" w:rsidP="0098344C">
      <w:pPr>
        <w:rPr>
          <w:szCs w:val="24"/>
        </w:rPr>
      </w:pPr>
    </w:p>
    <w:p w14:paraId="56C0F1B6" w14:textId="32FAA1BA" w:rsidR="006F2DF1" w:rsidRPr="002A2440" w:rsidRDefault="00BB4086" w:rsidP="002A2440">
      <w:pPr>
        <w:rPr>
          <w:szCs w:val="24"/>
        </w:rPr>
      </w:pPr>
      <w:r w:rsidRPr="00470248">
        <w:rPr>
          <w:szCs w:val="24"/>
        </w:rPr>
        <w:t>For the avoidance of doubt, all Classes of Shares listed in the table in “the Fund” section above are unlaunched</w:t>
      </w:r>
      <w:r>
        <w:rPr>
          <w:szCs w:val="24"/>
        </w:rPr>
        <w:t xml:space="preserve">, save for </w:t>
      </w:r>
      <w:r w:rsidRPr="00CC677B">
        <w:rPr>
          <w:szCs w:val="24"/>
        </w:rPr>
        <w:t>EUR Z Accumulating; GBP Z Accumulating; USD Z Accumulating; AUD Z Accumulating;</w:t>
      </w:r>
      <w:r w:rsidRPr="00CC677B">
        <w:t xml:space="preserve"> </w:t>
      </w:r>
      <w:r w:rsidRPr="00CC677B">
        <w:rPr>
          <w:szCs w:val="24"/>
        </w:rPr>
        <w:t>EUR I Accumulating; GBP I Accumulating; USD I Accumulating; AUD I Accumulating; EUR E Accumulating; GBP E Accumulating,</w:t>
      </w:r>
      <w:r>
        <w:rPr>
          <w:szCs w:val="24"/>
        </w:rPr>
        <w:t xml:space="preserve"> </w:t>
      </w:r>
      <w:r w:rsidRPr="00781327">
        <w:rPr>
          <w:szCs w:val="24"/>
        </w:rPr>
        <w:t>USD E Accumulating</w:t>
      </w:r>
      <w:r>
        <w:rPr>
          <w:szCs w:val="24"/>
        </w:rPr>
        <w:t>, EUR R1 Accumu</w:t>
      </w:r>
      <w:r w:rsidR="00020EE0">
        <w:rPr>
          <w:szCs w:val="24"/>
        </w:rPr>
        <w:t>lating, GBP R1 Accumulating</w:t>
      </w:r>
      <w:r w:rsidR="002A2440">
        <w:rPr>
          <w:szCs w:val="24"/>
        </w:rPr>
        <w:t>,</w:t>
      </w:r>
      <w:r w:rsidR="00020EE0">
        <w:rPr>
          <w:szCs w:val="24"/>
        </w:rPr>
        <w:t xml:space="preserve"> </w:t>
      </w:r>
      <w:r>
        <w:rPr>
          <w:szCs w:val="24"/>
        </w:rPr>
        <w:t>USD R1 Accumulating</w:t>
      </w:r>
      <w:r w:rsidR="002A2440">
        <w:rPr>
          <w:szCs w:val="24"/>
        </w:rPr>
        <w:t>, EUR R4 Distributing (Hedged) and CHF I Accumulating</w:t>
      </w:r>
      <w:r w:rsidR="006C4081">
        <w:rPr>
          <w:szCs w:val="24"/>
        </w:rPr>
        <w:t xml:space="preserve">. </w:t>
      </w:r>
    </w:p>
    <w:p w14:paraId="527C3676" w14:textId="77777777" w:rsidR="004D4CB6" w:rsidRPr="00470248" w:rsidRDefault="004D4CB6" w:rsidP="0098344C">
      <w:pPr>
        <w:rPr>
          <w:szCs w:val="24"/>
        </w:rPr>
      </w:pPr>
    </w:p>
    <w:p w14:paraId="25EBDCCA" w14:textId="074A6677" w:rsidR="00733ABD" w:rsidRPr="00470248" w:rsidRDefault="00437427" w:rsidP="0098344C">
      <w:pPr>
        <w:rPr>
          <w:szCs w:val="24"/>
        </w:rPr>
      </w:pPr>
      <w:r w:rsidRPr="00470248">
        <w:rPr>
          <w:szCs w:val="24"/>
        </w:rPr>
        <w:t>The initial offer price for each Share Class will be determined by the currency in which such Class is denominated and as set out in the table below.</w:t>
      </w:r>
    </w:p>
    <w:p w14:paraId="70211CC5" w14:textId="77777777" w:rsidR="00437427" w:rsidRPr="00470248" w:rsidRDefault="00437427" w:rsidP="0098344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80782B" w:rsidRPr="00470248" w14:paraId="6EBE6EA0" w14:textId="77777777" w:rsidTr="003A2517">
        <w:tc>
          <w:tcPr>
            <w:tcW w:w="4536" w:type="dxa"/>
            <w:shd w:val="clear" w:color="auto" w:fill="auto"/>
          </w:tcPr>
          <w:p w14:paraId="6C9A5235" w14:textId="3FE4FD5A" w:rsidR="0080782B" w:rsidRPr="00470248" w:rsidRDefault="00CC7F1D" w:rsidP="007E3ECB">
            <w:pPr>
              <w:rPr>
                <w:szCs w:val="24"/>
              </w:rPr>
            </w:pPr>
            <w:r>
              <w:rPr>
                <w:b/>
                <w:lang w:val="en-GB"/>
              </w:rPr>
              <w:t>Currency of the Share C</w:t>
            </w:r>
            <w:r w:rsidR="0080782B" w:rsidRPr="00470248">
              <w:rPr>
                <w:b/>
                <w:lang w:val="en-GB"/>
              </w:rPr>
              <w:t>lass</w:t>
            </w:r>
          </w:p>
        </w:tc>
        <w:tc>
          <w:tcPr>
            <w:tcW w:w="4526" w:type="dxa"/>
            <w:shd w:val="clear" w:color="auto" w:fill="auto"/>
          </w:tcPr>
          <w:p w14:paraId="7750B862" w14:textId="77777777" w:rsidR="0080782B" w:rsidRPr="00470248" w:rsidRDefault="0080782B" w:rsidP="007E3ECB">
            <w:pPr>
              <w:rPr>
                <w:szCs w:val="24"/>
              </w:rPr>
            </w:pPr>
            <w:r w:rsidRPr="00470248">
              <w:rPr>
                <w:b/>
                <w:lang w:val="en-GB"/>
              </w:rPr>
              <w:t>Initial offer price</w:t>
            </w:r>
          </w:p>
        </w:tc>
      </w:tr>
      <w:tr w:rsidR="0080782B" w:rsidRPr="00470248" w14:paraId="0AE8D842" w14:textId="77777777" w:rsidTr="003A2517">
        <w:tc>
          <w:tcPr>
            <w:tcW w:w="4536" w:type="dxa"/>
            <w:shd w:val="clear" w:color="auto" w:fill="auto"/>
          </w:tcPr>
          <w:p w14:paraId="1AA6E70A" w14:textId="77777777" w:rsidR="0080782B" w:rsidRPr="00470248" w:rsidRDefault="0080782B" w:rsidP="007E3ECB">
            <w:pPr>
              <w:rPr>
                <w:szCs w:val="24"/>
              </w:rPr>
            </w:pPr>
            <w:r w:rsidRPr="00470248">
              <w:rPr>
                <w:szCs w:val="24"/>
              </w:rPr>
              <w:t>USD</w:t>
            </w:r>
          </w:p>
        </w:tc>
        <w:tc>
          <w:tcPr>
            <w:tcW w:w="4526" w:type="dxa"/>
            <w:shd w:val="clear" w:color="auto" w:fill="auto"/>
          </w:tcPr>
          <w:p w14:paraId="0FFA284D" w14:textId="77777777" w:rsidR="0080782B" w:rsidRPr="00470248" w:rsidRDefault="0080782B" w:rsidP="007E3ECB">
            <w:pPr>
              <w:rPr>
                <w:szCs w:val="24"/>
              </w:rPr>
            </w:pPr>
            <w:r w:rsidRPr="00470248">
              <w:rPr>
                <w:szCs w:val="24"/>
              </w:rPr>
              <w:t>USD 10</w:t>
            </w:r>
          </w:p>
        </w:tc>
      </w:tr>
      <w:tr w:rsidR="0080782B" w:rsidRPr="00470248" w14:paraId="449691BE" w14:textId="77777777" w:rsidTr="003A2517">
        <w:tc>
          <w:tcPr>
            <w:tcW w:w="4536" w:type="dxa"/>
            <w:shd w:val="clear" w:color="auto" w:fill="auto"/>
          </w:tcPr>
          <w:p w14:paraId="21BD1DFE" w14:textId="77777777" w:rsidR="0080782B" w:rsidRPr="00470248" w:rsidRDefault="0080782B" w:rsidP="007E3ECB">
            <w:pPr>
              <w:rPr>
                <w:szCs w:val="24"/>
              </w:rPr>
            </w:pPr>
            <w:r w:rsidRPr="00470248">
              <w:rPr>
                <w:szCs w:val="24"/>
              </w:rPr>
              <w:t>GBP</w:t>
            </w:r>
          </w:p>
        </w:tc>
        <w:tc>
          <w:tcPr>
            <w:tcW w:w="4526" w:type="dxa"/>
            <w:shd w:val="clear" w:color="auto" w:fill="auto"/>
          </w:tcPr>
          <w:p w14:paraId="6F344DB8" w14:textId="77777777" w:rsidR="0080782B" w:rsidRPr="00470248" w:rsidRDefault="0080782B" w:rsidP="007E3ECB">
            <w:pPr>
              <w:rPr>
                <w:szCs w:val="24"/>
              </w:rPr>
            </w:pPr>
            <w:r w:rsidRPr="00470248">
              <w:rPr>
                <w:szCs w:val="24"/>
              </w:rPr>
              <w:t>GBP 10</w:t>
            </w:r>
          </w:p>
        </w:tc>
      </w:tr>
      <w:tr w:rsidR="0080782B" w:rsidRPr="00470248" w14:paraId="31599123" w14:textId="77777777" w:rsidTr="003A2517">
        <w:tc>
          <w:tcPr>
            <w:tcW w:w="4536" w:type="dxa"/>
            <w:shd w:val="clear" w:color="auto" w:fill="auto"/>
          </w:tcPr>
          <w:p w14:paraId="5F61F047" w14:textId="77777777" w:rsidR="0080782B" w:rsidRPr="00470248" w:rsidRDefault="0080782B" w:rsidP="007E3ECB">
            <w:pPr>
              <w:rPr>
                <w:szCs w:val="24"/>
              </w:rPr>
            </w:pPr>
            <w:r w:rsidRPr="00470248">
              <w:rPr>
                <w:szCs w:val="24"/>
              </w:rPr>
              <w:t>EUR</w:t>
            </w:r>
          </w:p>
        </w:tc>
        <w:tc>
          <w:tcPr>
            <w:tcW w:w="4526" w:type="dxa"/>
            <w:shd w:val="clear" w:color="auto" w:fill="auto"/>
          </w:tcPr>
          <w:p w14:paraId="4B4BADDB" w14:textId="77777777" w:rsidR="0080782B" w:rsidRPr="00470248" w:rsidRDefault="0080782B" w:rsidP="007E3ECB">
            <w:pPr>
              <w:rPr>
                <w:szCs w:val="24"/>
              </w:rPr>
            </w:pPr>
            <w:r w:rsidRPr="00470248">
              <w:rPr>
                <w:szCs w:val="24"/>
              </w:rPr>
              <w:t>EUR 10</w:t>
            </w:r>
          </w:p>
        </w:tc>
      </w:tr>
      <w:tr w:rsidR="0080782B" w:rsidRPr="00470248" w14:paraId="551BC410" w14:textId="77777777" w:rsidTr="003A2517">
        <w:tc>
          <w:tcPr>
            <w:tcW w:w="4536" w:type="dxa"/>
            <w:shd w:val="clear" w:color="auto" w:fill="auto"/>
          </w:tcPr>
          <w:p w14:paraId="5421B8BD" w14:textId="77777777" w:rsidR="0080782B" w:rsidRPr="00470248" w:rsidRDefault="0080782B" w:rsidP="007E3ECB">
            <w:pPr>
              <w:rPr>
                <w:szCs w:val="24"/>
              </w:rPr>
            </w:pPr>
            <w:r w:rsidRPr="00470248">
              <w:rPr>
                <w:szCs w:val="24"/>
              </w:rPr>
              <w:t>CHF</w:t>
            </w:r>
          </w:p>
        </w:tc>
        <w:tc>
          <w:tcPr>
            <w:tcW w:w="4526" w:type="dxa"/>
            <w:shd w:val="clear" w:color="auto" w:fill="auto"/>
          </w:tcPr>
          <w:p w14:paraId="2CB92060" w14:textId="77777777" w:rsidR="0080782B" w:rsidRPr="00470248" w:rsidRDefault="0080782B" w:rsidP="007E3ECB">
            <w:pPr>
              <w:rPr>
                <w:szCs w:val="24"/>
              </w:rPr>
            </w:pPr>
            <w:r w:rsidRPr="00470248">
              <w:rPr>
                <w:szCs w:val="24"/>
              </w:rPr>
              <w:t>CHF 10</w:t>
            </w:r>
          </w:p>
        </w:tc>
      </w:tr>
      <w:tr w:rsidR="0080782B" w:rsidRPr="00470248" w14:paraId="05E97078" w14:textId="77777777" w:rsidTr="003A2517">
        <w:tc>
          <w:tcPr>
            <w:tcW w:w="4536" w:type="dxa"/>
            <w:shd w:val="clear" w:color="auto" w:fill="auto"/>
          </w:tcPr>
          <w:p w14:paraId="253D74B4" w14:textId="77777777" w:rsidR="0080782B" w:rsidRPr="00470248" w:rsidRDefault="0080782B" w:rsidP="007E3ECB">
            <w:pPr>
              <w:rPr>
                <w:szCs w:val="24"/>
              </w:rPr>
            </w:pPr>
            <w:r w:rsidRPr="00470248">
              <w:rPr>
                <w:szCs w:val="24"/>
              </w:rPr>
              <w:t>AUD</w:t>
            </w:r>
          </w:p>
        </w:tc>
        <w:tc>
          <w:tcPr>
            <w:tcW w:w="4526" w:type="dxa"/>
            <w:shd w:val="clear" w:color="auto" w:fill="auto"/>
          </w:tcPr>
          <w:p w14:paraId="41B2DD88" w14:textId="77777777" w:rsidR="0080782B" w:rsidRPr="00470248" w:rsidRDefault="0080782B" w:rsidP="007E3ECB">
            <w:pPr>
              <w:rPr>
                <w:szCs w:val="24"/>
              </w:rPr>
            </w:pPr>
            <w:r w:rsidRPr="00470248">
              <w:rPr>
                <w:szCs w:val="24"/>
              </w:rPr>
              <w:t>AUD 10</w:t>
            </w:r>
          </w:p>
        </w:tc>
      </w:tr>
    </w:tbl>
    <w:p w14:paraId="057C88C8" w14:textId="77777777" w:rsidR="00020EE0" w:rsidRDefault="00020EE0" w:rsidP="00921555">
      <w:pPr>
        <w:rPr>
          <w:szCs w:val="24"/>
        </w:rPr>
      </w:pPr>
    </w:p>
    <w:p w14:paraId="283334BE" w14:textId="00563003" w:rsidR="00437427" w:rsidRPr="00470248" w:rsidRDefault="00437427" w:rsidP="00921555">
      <w:pPr>
        <w:rPr>
          <w:szCs w:val="24"/>
        </w:rPr>
      </w:pPr>
      <w:r w:rsidRPr="00470248">
        <w:rPr>
          <w:szCs w:val="24"/>
        </w:rPr>
        <w:t xml:space="preserve">Subscription monies must be paid in the Class Currency and must be paid by wire transfer to the bank account of the Fund.  Money must be remitted from an account in the name of the investor(s).  </w:t>
      </w:r>
    </w:p>
    <w:p w14:paraId="4F7B2B2C" w14:textId="77777777" w:rsidR="00437427" w:rsidRPr="00470248" w:rsidRDefault="00437427" w:rsidP="001B47EA">
      <w:pPr>
        <w:rPr>
          <w:szCs w:val="24"/>
        </w:rPr>
      </w:pPr>
    </w:p>
    <w:p w14:paraId="43342222" w14:textId="2E5BD1FF" w:rsidR="00EE4D04" w:rsidRPr="00470248" w:rsidRDefault="00EE4D04" w:rsidP="001B47EA">
      <w:pPr>
        <w:rPr>
          <w:szCs w:val="24"/>
        </w:rPr>
      </w:pPr>
      <w:r w:rsidRPr="00470248">
        <w:rPr>
          <w:szCs w:val="24"/>
        </w:rPr>
        <w:lastRenderedPageBreak/>
        <w:t>Details of unlaunched Classes above are as at the date of this Supplement.  Shareholders may request up to date information from the Administrator or the Investment Manager as to which Classes have launched at the date of their proposed investment.</w:t>
      </w:r>
    </w:p>
    <w:p w14:paraId="420E4273" w14:textId="77777777" w:rsidR="00EE4D04" w:rsidRPr="00470248" w:rsidRDefault="00EE4D04" w:rsidP="001B47EA">
      <w:pPr>
        <w:rPr>
          <w:szCs w:val="24"/>
        </w:rPr>
      </w:pPr>
    </w:p>
    <w:p w14:paraId="38181649" w14:textId="77777777" w:rsidR="00EE4D04" w:rsidRPr="00470248" w:rsidRDefault="00EE4D04" w:rsidP="0098344C">
      <w:pPr>
        <w:rPr>
          <w:szCs w:val="24"/>
        </w:rPr>
      </w:pPr>
      <w:r w:rsidRPr="00470248">
        <w:rPr>
          <w:szCs w:val="24"/>
        </w:rPr>
        <w:t xml:space="preserve">Subscription monies must be paid in the Class Currency and must be paid by wire transfer to the bank account of the Fund.  Money must be remitted from an account in the name of the investor(s).  </w:t>
      </w:r>
    </w:p>
    <w:p w14:paraId="0F1BC690" w14:textId="77777777" w:rsidR="00EE4D04" w:rsidRPr="00470248" w:rsidRDefault="00EE4D04" w:rsidP="0098344C">
      <w:pPr>
        <w:rPr>
          <w:szCs w:val="24"/>
          <w:lang w:val="en-US"/>
        </w:rPr>
      </w:pPr>
    </w:p>
    <w:p w14:paraId="379D4633" w14:textId="54EBDCC5" w:rsidR="00EE4D04" w:rsidRPr="00470248" w:rsidRDefault="00EE4D04" w:rsidP="0098344C">
      <w:pPr>
        <w:rPr>
          <w:szCs w:val="24"/>
          <w:lang w:val="en-US"/>
        </w:rPr>
      </w:pPr>
      <w:r w:rsidRPr="00470248">
        <w:rPr>
          <w:szCs w:val="24"/>
          <w:lang w:val="en-US"/>
        </w:rPr>
        <w:t>The Initial Offer Period may be shortened or extended by the Directors</w:t>
      </w:r>
      <w:r w:rsidR="00B211EB">
        <w:rPr>
          <w:szCs w:val="24"/>
          <w:lang w:val="en-US"/>
        </w:rPr>
        <w:t>, in consultation with the Manager</w:t>
      </w:r>
      <w:r w:rsidRPr="00470248">
        <w:rPr>
          <w:szCs w:val="24"/>
          <w:lang w:val="en-US"/>
        </w:rPr>
        <w:t xml:space="preserve">. The Central Bank will be notified in advance of any such shortening or extension if subscriptions for Shares have been received or otherwise on an annual basis. </w:t>
      </w:r>
    </w:p>
    <w:p w14:paraId="279ADBBC" w14:textId="77777777" w:rsidR="00EE4D04" w:rsidRPr="00470248" w:rsidRDefault="00EE4D04" w:rsidP="0098344C">
      <w:pPr>
        <w:rPr>
          <w:szCs w:val="24"/>
          <w:lang w:val="en-US"/>
        </w:rPr>
      </w:pPr>
    </w:p>
    <w:p w14:paraId="7AEC8087" w14:textId="77777777" w:rsidR="00EE4D04" w:rsidRPr="00470248" w:rsidRDefault="00EE4D04" w:rsidP="0098344C">
      <w:pPr>
        <w:rPr>
          <w:b/>
          <w:szCs w:val="24"/>
        </w:rPr>
      </w:pPr>
      <w:r w:rsidRPr="00470248">
        <w:rPr>
          <w:b/>
          <w:szCs w:val="24"/>
        </w:rPr>
        <w:t>Offer of Shares after the Initial Offer Period</w:t>
      </w:r>
    </w:p>
    <w:p w14:paraId="5E0BB4F3" w14:textId="77777777" w:rsidR="00EE4D04" w:rsidRPr="00470248" w:rsidRDefault="00EE4D04" w:rsidP="0098344C">
      <w:pPr>
        <w:rPr>
          <w:b/>
          <w:szCs w:val="24"/>
        </w:rPr>
      </w:pPr>
    </w:p>
    <w:p w14:paraId="0229BC80" w14:textId="77777777" w:rsidR="00EA0DA1" w:rsidRPr="00470248" w:rsidRDefault="00EA0DA1" w:rsidP="0098344C">
      <w:pPr>
        <w:rPr>
          <w:szCs w:val="24"/>
        </w:rPr>
      </w:pPr>
      <w:r w:rsidRPr="00470248">
        <w:rPr>
          <w:szCs w:val="24"/>
        </w:rPr>
        <w:t xml:space="preserve">After the initial issue of Shares in any Class, the Shares in such Class will be issued on the relevant Dealing Day at the relevant Net Asset Value per Share for the applicable Class </w:t>
      </w:r>
      <w:bookmarkStart w:id="36" w:name="_BPDCD_27"/>
      <w:r w:rsidRPr="002F37CC">
        <w:rPr>
          <w:szCs w:val="24"/>
        </w:rPr>
        <w:t xml:space="preserve">including </w:t>
      </w:r>
      <w:bookmarkEnd w:id="36"/>
      <w:r w:rsidRPr="002F37CC">
        <w:rPr>
          <w:szCs w:val="24"/>
        </w:rPr>
        <w:t>any dilution levy applicable</w:t>
      </w:r>
      <w:bookmarkStart w:id="37" w:name="_BPDCD_28"/>
      <w:r w:rsidRPr="002F37CC">
        <w:rPr>
          <w:szCs w:val="24"/>
        </w:rPr>
        <w:t xml:space="preserve"> (</w:t>
      </w:r>
      <w:bookmarkEnd w:id="37"/>
      <w:r w:rsidRPr="002F37CC">
        <w:rPr>
          <w:szCs w:val="24"/>
        </w:rPr>
        <w:t xml:space="preserve">as described in the </w:t>
      </w:r>
      <w:bookmarkStart w:id="38" w:name="_BPDCD_29"/>
      <w:r w:rsidRPr="002F37CC">
        <w:rPr>
          <w:szCs w:val="24"/>
        </w:rPr>
        <w:t xml:space="preserve">Prospectus under the heading </w:t>
      </w:r>
      <w:bookmarkEnd w:id="38"/>
      <w:r w:rsidRPr="002F37CC">
        <w:rPr>
          <w:szCs w:val="24"/>
        </w:rPr>
        <w:t>“</w:t>
      </w:r>
      <w:bookmarkStart w:id="39" w:name="_BPDCD_30"/>
      <w:r w:rsidRPr="002F37CC">
        <w:rPr>
          <w:szCs w:val="24"/>
        </w:rPr>
        <w:t>Determination of Net Asset Value</w:t>
      </w:r>
      <w:bookmarkEnd w:id="39"/>
      <w:r w:rsidRPr="002F37CC">
        <w:rPr>
          <w:szCs w:val="24"/>
        </w:rPr>
        <w:t xml:space="preserve">”) </w:t>
      </w:r>
      <w:r w:rsidRPr="00470248">
        <w:rPr>
          <w:szCs w:val="24"/>
        </w:rPr>
        <w:t>on the terms and in accordance with the procedures described herein.</w:t>
      </w:r>
    </w:p>
    <w:p w14:paraId="16313566" w14:textId="77777777" w:rsidR="00EE4D04" w:rsidRPr="00470248" w:rsidRDefault="00EE4D04" w:rsidP="0098344C">
      <w:pPr>
        <w:rPr>
          <w:b/>
          <w:szCs w:val="24"/>
        </w:rPr>
      </w:pPr>
    </w:p>
    <w:p w14:paraId="78DA34B0" w14:textId="77777777" w:rsidR="00EE4D04" w:rsidRPr="00470248" w:rsidRDefault="00EE4D04" w:rsidP="0098344C">
      <w:pPr>
        <w:pStyle w:val="PROSPECTUS-LEVEL2"/>
        <w:numPr>
          <w:ilvl w:val="0"/>
          <w:numId w:val="0"/>
        </w:numPr>
        <w:ind w:left="709" w:hanging="709"/>
        <w:rPr>
          <w:bCs/>
          <w:szCs w:val="24"/>
        </w:rPr>
      </w:pPr>
      <w:r w:rsidRPr="00470248">
        <w:rPr>
          <w:bCs/>
          <w:szCs w:val="24"/>
        </w:rPr>
        <w:t>Applications for Shares</w:t>
      </w:r>
    </w:p>
    <w:p w14:paraId="66244257" w14:textId="58D4CE6B" w:rsidR="00EE4D04" w:rsidRPr="00470248" w:rsidRDefault="00EE4D04" w:rsidP="0098344C">
      <w:pPr>
        <w:pStyle w:val="BodyText"/>
        <w:rPr>
          <w:rFonts w:eastAsia="MS Mincho"/>
        </w:rPr>
      </w:pPr>
      <w:r w:rsidRPr="00470248">
        <w:rPr>
          <w:rFonts w:eastAsia="MS Mincho"/>
        </w:rPr>
        <w:t xml:space="preserve">Applications for Shares in the Fund should be made by written application using the Subscription Agreement available from the Administrator.  Subscription Agreements, duly completed together with all supporting documentation in relation to money laundering prevention checks, should be sent to the Administrator, in accordance with the instructions contained in the Subscription Agreement, prior to the Subscription Cut-Off Time, unless the </w:t>
      </w:r>
      <w:r w:rsidR="00B211EB">
        <w:rPr>
          <w:rFonts w:eastAsia="MS Mincho"/>
        </w:rPr>
        <w:t>Manager, in consultation with the Company,</w:t>
      </w:r>
      <w:r w:rsidRPr="00470248">
        <w:rPr>
          <w:rFonts w:eastAsia="MS Mincho"/>
        </w:rPr>
        <w:t xml:space="preserve"> determine</w:t>
      </w:r>
      <w:r w:rsidR="00B211EB">
        <w:rPr>
          <w:rFonts w:eastAsia="MS Mincho"/>
        </w:rPr>
        <w:t>s</w:t>
      </w:r>
      <w:r w:rsidRPr="00470248">
        <w:rPr>
          <w:rFonts w:eastAsia="MS Mincho"/>
        </w:rPr>
        <w:t xml:space="preserve"> to accept such subscriptions in exceptional circumstances and provided that such subscriptions for Shares are received before the Valuation Point on the relevant Dealing Day.  Subscription Agreements may be sent by facsimile to the Administrator.  Subsequent purchases of Shares, following an initial subscription pursuant to a properly completed Subscription Agreement, may be made by completing and submitting a faxed or Approved Electronic Request to the Administrator.</w:t>
      </w:r>
    </w:p>
    <w:p w14:paraId="1811EDEE" w14:textId="77777777" w:rsidR="00EE4D04" w:rsidRPr="00470248" w:rsidRDefault="00EE4D04" w:rsidP="0098344C">
      <w:pPr>
        <w:pStyle w:val="BodyText"/>
        <w:rPr>
          <w:rFonts w:eastAsia="MS Mincho"/>
          <w:b/>
        </w:rPr>
      </w:pPr>
      <w:r w:rsidRPr="00470248">
        <w:rPr>
          <w:rFonts w:eastAsia="MS Mincho"/>
          <w:b/>
        </w:rPr>
        <w:t>Settlement Period for Subscriptions</w:t>
      </w:r>
    </w:p>
    <w:p w14:paraId="02E193A3" w14:textId="35D34F1E" w:rsidR="00EE4D04" w:rsidRPr="00470248" w:rsidRDefault="00EE4D04" w:rsidP="0098344C">
      <w:pPr>
        <w:pStyle w:val="BodyText"/>
        <w:rPr>
          <w:rFonts w:eastAsia="MS Mincho"/>
        </w:rPr>
      </w:pPr>
      <w:r w:rsidRPr="00470248">
        <w:rPr>
          <w:rFonts w:eastAsia="MS Mincho"/>
        </w:rPr>
        <w:t xml:space="preserve">During the Initial Offer Period, cleared funds representing the initial offer price of the Shares must be received by the Company by the final Business Day of the Initial Offer Period.  </w:t>
      </w:r>
      <w:bookmarkStart w:id="40" w:name="_Hlk485022273"/>
      <w:r w:rsidRPr="00470248">
        <w:rPr>
          <w:rFonts w:eastAsia="MS Mincho"/>
        </w:rPr>
        <w:t xml:space="preserve">After the Initial Offer Period, cleared funds representing the subscription monies must be received by the Company by </w:t>
      </w:r>
      <w:bookmarkStart w:id="41" w:name="_BPDCD_31"/>
      <w:r w:rsidR="00655C78" w:rsidRPr="002F37CC">
        <w:rPr>
          <w:rFonts w:eastAsia="MS Mincho"/>
        </w:rPr>
        <w:t xml:space="preserve">12 noon on the Business Day falling </w:t>
      </w:r>
      <w:bookmarkEnd w:id="41"/>
      <w:r w:rsidRPr="002F37CC">
        <w:rPr>
          <w:rFonts w:eastAsia="MS Mincho"/>
        </w:rPr>
        <w:t xml:space="preserve">three (3) Business Days </w:t>
      </w:r>
      <w:bookmarkStart w:id="42" w:name="_BPDCD_32"/>
      <w:r w:rsidR="00655C78" w:rsidRPr="002F37CC">
        <w:rPr>
          <w:rFonts w:eastAsia="MS Mincho"/>
        </w:rPr>
        <w:t xml:space="preserve">after </w:t>
      </w:r>
      <w:bookmarkEnd w:id="42"/>
      <w:r w:rsidRPr="002F37CC">
        <w:rPr>
          <w:rFonts w:eastAsia="MS Mincho"/>
        </w:rPr>
        <w:t xml:space="preserve">the relevant Dealing Day, in cleared funds and in the designated currency of the Shares being purchased. </w:t>
      </w:r>
      <w:r w:rsidRPr="00470248">
        <w:rPr>
          <w:rFonts w:eastAsia="MS Mincho"/>
        </w:rPr>
        <w:t xml:space="preserve"> If cleared funds representing the subscription monies are not received by the Company by </w:t>
      </w:r>
      <w:r w:rsidRPr="002F37CC">
        <w:rPr>
          <w:rFonts w:eastAsia="MS Mincho"/>
        </w:rPr>
        <w:t xml:space="preserve">the </w:t>
      </w:r>
      <w:bookmarkStart w:id="43" w:name="_BPDCD_33"/>
      <w:r w:rsidR="00EA0DA1" w:rsidRPr="002F37CC">
        <w:rPr>
          <w:rFonts w:eastAsia="MS Mincho"/>
        </w:rPr>
        <w:t xml:space="preserve">above </w:t>
      </w:r>
      <w:bookmarkEnd w:id="43"/>
      <w:r w:rsidRPr="002F37CC">
        <w:rPr>
          <w:rFonts w:eastAsia="MS Mincho"/>
        </w:rPr>
        <w:t xml:space="preserve"> time</w:t>
      </w:r>
      <w:r w:rsidRPr="00470248">
        <w:rPr>
          <w:rFonts w:eastAsia="MS Mincho"/>
        </w:rPr>
        <w:t xml:space="preserve">, or such other time or day as is determined by the Directors from time to time, the </w:t>
      </w:r>
      <w:r w:rsidR="00B211EB">
        <w:rPr>
          <w:rFonts w:eastAsia="MS Mincho"/>
        </w:rPr>
        <w:t xml:space="preserve">Manager, acting in consultation with the </w:t>
      </w:r>
      <w:r w:rsidRPr="00470248">
        <w:rPr>
          <w:rFonts w:eastAsia="MS Mincho"/>
        </w:rPr>
        <w:t>Directors</w:t>
      </w:r>
      <w:r w:rsidR="00B211EB">
        <w:rPr>
          <w:rFonts w:eastAsia="MS Mincho"/>
        </w:rPr>
        <w:t>,</w:t>
      </w:r>
      <w:r w:rsidRPr="00470248">
        <w:rPr>
          <w:rFonts w:eastAsia="MS Mincho"/>
        </w:rPr>
        <w:t xml:space="preserve"> reserve</w:t>
      </w:r>
      <w:r w:rsidR="00B211EB">
        <w:rPr>
          <w:rFonts w:eastAsia="MS Mincho"/>
        </w:rPr>
        <w:t>s</w:t>
      </w:r>
      <w:r w:rsidRPr="00470248">
        <w:rPr>
          <w:rFonts w:eastAsia="MS Mincho"/>
        </w:rPr>
        <w:t xml:space="preserve"> the right to reject the subscription and / or cancel the provisional allotment of Shares, as appropriate.  In such an event the investor will indemnify the Company, </w:t>
      </w:r>
      <w:r w:rsidR="00B211EB">
        <w:rPr>
          <w:rFonts w:eastAsia="MS Mincho"/>
        </w:rPr>
        <w:t xml:space="preserve">the Manager, </w:t>
      </w:r>
      <w:r w:rsidRPr="00470248">
        <w:rPr>
          <w:rFonts w:eastAsia="MS Mincho"/>
        </w:rPr>
        <w:t xml:space="preserve">the Investment Manager, </w:t>
      </w:r>
      <w:r w:rsidR="0007263E" w:rsidRPr="00470248">
        <w:rPr>
          <w:rFonts w:eastAsia="MS Mincho"/>
        </w:rPr>
        <w:t xml:space="preserve">the Sub-Investment Manager, </w:t>
      </w:r>
      <w:r w:rsidRPr="00470248">
        <w:rPr>
          <w:rFonts w:eastAsia="MS Mincho"/>
        </w:rPr>
        <w:t xml:space="preserve">the Administrator and any of their respective affiliates for any and all claims, losses, liabilities or damages (including attorneys’ fees and other related out-of-pocket expenses) suffered or incurred by any such person as a result of the investor not remitting the amount of its subscription by the due date for such subscription or otherwise failing to comply with the terms of such Subscription Agreement.  </w:t>
      </w:r>
      <w:bookmarkEnd w:id="40"/>
    </w:p>
    <w:p w14:paraId="22E99554" w14:textId="291DAF48" w:rsidR="00EE4D04" w:rsidRPr="00470248" w:rsidRDefault="00EE4D04" w:rsidP="0098344C">
      <w:pPr>
        <w:pStyle w:val="BodyText"/>
        <w:rPr>
          <w:rFonts w:eastAsia="MS Mincho"/>
        </w:rPr>
      </w:pPr>
      <w:r w:rsidRPr="00470248">
        <w:rPr>
          <w:rFonts w:eastAsia="MS Mincho"/>
        </w:rPr>
        <w:t xml:space="preserve">In the event that the </w:t>
      </w:r>
      <w:r w:rsidR="00DD4DA5">
        <w:rPr>
          <w:rFonts w:eastAsia="MS Mincho"/>
        </w:rPr>
        <w:t xml:space="preserve">Manager, acting in consultation with the </w:t>
      </w:r>
      <w:r w:rsidRPr="00470248">
        <w:rPr>
          <w:rFonts w:eastAsia="MS Mincho"/>
        </w:rPr>
        <w:t>Directors</w:t>
      </w:r>
      <w:r w:rsidR="00DD4DA5">
        <w:rPr>
          <w:rFonts w:eastAsia="MS Mincho"/>
        </w:rPr>
        <w:t>,</w:t>
      </w:r>
      <w:r w:rsidRPr="00470248">
        <w:rPr>
          <w:rFonts w:eastAsia="MS Mincho"/>
        </w:rPr>
        <w:t xml:space="preserve"> decide</w:t>
      </w:r>
      <w:r w:rsidR="00DD4DA5">
        <w:rPr>
          <w:rFonts w:eastAsia="MS Mincho"/>
        </w:rPr>
        <w:t>s</w:t>
      </w:r>
      <w:r w:rsidRPr="00470248">
        <w:rPr>
          <w:rFonts w:eastAsia="MS Mincho"/>
        </w:rPr>
        <w:t xml:space="preserve"> not to cancel a provisional allotment of Shares notwithstanding that cleared funds have been received by the Company after the relevant cut-off time, the </w:t>
      </w:r>
      <w:r w:rsidR="00DD4DA5">
        <w:rPr>
          <w:rFonts w:eastAsia="MS Mincho"/>
        </w:rPr>
        <w:t>Manager</w:t>
      </w:r>
      <w:r w:rsidRPr="00470248">
        <w:rPr>
          <w:rFonts w:eastAsia="MS Mincho"/>
        </w:rPr>
        <w:t xml:space="preserve"> reserve</w:t>
      </w:r>
      <w:r w:rsidR="00DD4DA5">
        <w:rPr>
          <w:rFonts w:eastAsia="MS Mincho"/>
        </w:rPr>
        <w:t>s</w:t>
      </w:r>
      <w:r w:rsidRPr="00470248">
        <w:rPr>
          <w:rFonts w:eastAsia="MS Mincho"/>
        </w:rPr>
        <w:t xml:space="preserve"> the right to charge interest on such subscription monies at prevailing interest rates commencing on the Business Day following the relevant Dealing Day.  In addition, upon the failure of a Shareholder to pay subscription monies by the date due, the</w:t>
      </w:r>
      <w:r w:rsidR="00DD4DA5">
        <w:rPr>
          <w:rFonts w:eastAsia="MS Mincho"/>
        </w:rPr>
        <w:t xml:space="preserve"> Manager </w:t>
      </w:r>
      <w:r w:rsidRPr="00470248">
        <w:rPr>
          <w:rFonts w:eastAsia="MS Mincho"/>
        </w:rPr>
        <w:t xml:space="preserve">may, in </w:t>
      </w:r>
      <w:r w:rsidR="00DD4DA5">
        <w:rPr>
          <w:rFonts w:eastAsia="MS Mincho"/>
        </w:rPr>
        <w:t>consultation with the Directors</w:t>
      </w:r>
      <w:r w:rsidRPr="00470248">
        <w:rPr>
          <w:rFonts w:eastAsia="MS Mincho"/>
        </w:rPr>
        <w:t xml:space="preserve">, redeem any Shares held by the Shareholder in the Company and apply the redemption proceeds in satisfaction of the Shareholder’s liabilities to the </w:t>
      </w:r>
      <w:r w:rsidR="00116F5C" w:rsidRPr="00470248">
        <w:rPr>
          <w:rFonts w:eastAsia="MS Mincho"/>
        </w:rPr>
        <w:t>Company,</w:t>
      </w:r>
      <w:r w:rsidR="00116F5C">
        <w:rPr>
          <w:rFonts w:eastAsia="MS Mincho"/>
        </w:rPr>
        <w:t xml:space="preserve"> the</w:t>
      </w:r>
      <w:r w:rsidR="00DD4DA5">
        <w:rPr>
          <w:rFonts w:eastAsia="MS Mincho"/>
        </w:rPr>
        <w:t xml:space="preserve"> Manager,</w:t>
      </w:r>
      <w:r w:rsidRPr="00470248">
        <w:rPr>
          <w:rFonts w:eastAsia="MS Mincho"/>
        </w:rPr>
        <w:t xml:space="preserve"> the Investment Manager or any of their respective affiliates pursuant to the indemnity described above.  Please see “Redemption of Shares – Mandatory Redemption of Shares, Forfeiture of Dividend and Deduction of Tax” in the Prospectus. </w:t>
      </w:r>
    </w:p>
    <w:p w14:paraId="76128B6F" w14:textId="2F7A840B" w:rsidR="00EE4D04" w:rsidRPr="00470248" w:rsidRDefault="00EE4D04" w:rsidP="0098344C">
      <w:pPr>
        <w:pStyle w:val="BodyText"/>
        <w:rPr>
          <w:rFonts w:eastAsia="MS Mincho"/>
        </w:rPr>
      </w:pPr>
      <w:r w:rsidRPr="00470248">
        <w:rPr>
          <w:rFonts w:eastAsia="MS Mincho"/>
        </w:rPr>
        <w:lastRenderedPageBreak/>
        <w:t>The Company</w:t>
      </w:r>
      <w:r w:rsidR="00DD4DA5">
        <w:rPr>
          <w:rFonts w:eastAsia="MS Mincho"/>
        </w:rPr>
        <w:t>, the Manager</w:t>
      </w:r>
      <w:r w:rsidRPr="00470248">
        <w:rPr>
          <w:rFonts w:eastAsia="MS Mincho"/>
        </w:rPr>
        <w:t xml:space="preserve"> or the Administrator may, in its sole discretion, reject any subscription in whole or in part without reason. </w:t>
      </w:r>
    </w:p>
    <w:p w14:paraId="407C22F3" w14:textId="77777777" w:rsidR="00EE4D04" w:rsidRPr="00470248" w:rsidRDefault="00EE4D04" w:rsidP="0098344C">
      <w:pPr>
        <w:pStyle w:val="BodyText"/>
        <w:rPr>
          <w:rFonts w:eastAsia="MS Mincho"/>
          <w:color w:val="000000"/>
        </w:rPr>
      </w:pPr>
      <w:r w:rsidRPr="00470248">
        <w:rPr>
          <w:rFonts w:eastAsia="MS Mincho"/>
        </w:rPr>
        <w:t>Shares in the Fund will be issued on the terms and in accordance with the procedures described in the Prospectus</w:t>
      </w:r>
      <w:r w:rsidRPr="00470248">
        <w:rPr>
          <w:rFonts w:eastAsia="MS Mincho"/>
          <w:color w:val="000000"/>
        </w:rPr>
        <w:t>.</w:t>
      </w:r>
    </w:p>
    <w:p w14:paraId="7555A768" w14:textId="77777777" w:rsidR="00EE4D04" w:rsidRPr="00470248" w:rsidRDefault="00EE4D04" w:rsidP="0098344C">
      <w:pPr>
        <w:pStyle w:val="PROSPECTUS-LEVEL2"/>
        <w:numPr>
          <w:ilvl w:val="0"/>
          <w:numId w:val="0"/>
        </w:numPr>
        <w:ind w:left="709" w:hanging="709"/>
        <w:rPr>
          <w:rFonts w:eastAsia="MS Mincho"/>
          <w:bCs/>
          <w:szCs w:val="24"/>
        </w:rPr>
      </w:pPr>
      <w:r w:rsidRPr="00470248">
        <w:rPr>
          <w:rFonts w:eastAsia="MS Mincho"/>
          <w:bCs/>
          <w:szCs w:val="24"/>
        </w:rPr>
        <w:t>Redemption Applications</w:t>
      </w:r>
    </w:p>
    <w:p w14:paraId="72042688" w14:textId="38B7E694" w:rsidR="00EE4D04" w:rsidRPr="00470248" w:rsidRDefault="00EE4D04" w:rsidP="0098344C">
      <w:pPr>
        <w:pStyle w:val="BodyText"/>
        <w:rPr>
          <w:color w:val="000000"/>
        </w:rPr>
      </w:pPr>
      <w:r w:rsidRPr="00470248">
        <w:rPr>
          <w:color w:val="000000"/>
        </w:rPr>
        <w:t xml:space="preserve">If Redemption Applications on any Dealing Day exceed 10% of the NAV of the Fund, or such higher percentage as the </w:t>
      </w:r>
      <w:r w:rsidR="00DD4DA5">
        <w:rPr>
          <w:color w:val="000000"/>
        </w:rPr>
        <w:t>Manager</w:t>
      </w:r>
      <w:r w:rsidRPr="00470248">
        <w:rPr>
          <w:color w:val="000000"/>
        </w:rPr>
        <w:t xml:space="preserve"> may determine in </w:t>
      </w:r>
      <w:r w:rsidR="00DD4DA5">
        <w:rPr>
          <w:color w:val="000000"/>
        </w:rPr>
        <w:t>consultation with the Directors,</w:t>
      </w:r>
      <w:r w:rsidRPr="00470248">
        <w:rPr>
          <w:color w:val="000000"/>
        </w:rPr>
        <w:t xml:space="preserve"> in respect of any Dealing Day (the "</w:t>
      </w:r>
      <w:r w:rsidRPr="00470248">
        <w:rPr>
          <w:b/>
          <w:color w:val="000000"/>
        </w:rPr>
        <w:t>Gate Amount</w:t>
      </w:r>
      <w:r w:rsidRPr="00470248">
        <w:rPr>
          <w:color w:val="000000"/>
        </w:rPr>
        <w:t xml:space="preserve">"), the </w:t>
      </w:r>
      <w:r w:rsidR="00DD4DA5">
        <w:rPr>
          <w:color w:val="000000"/>
        </w:rPr>
        <w:t>Manager</w:t>
      </w:r>
      <w:r w:rsidRPr="00470248">
        <w:rPr>
          <w:color w:val="000000"/>
        </w:rPr>
        <w:t xml:space="preserve"> may (i) reduce all such Redemption Applications pro rata (in accordance with the size of the Redemption Applications so that Shares redeemed on such Dealing Day, in aggregate, represent only the Gate Amount) and (ii) defer Redemption Applications in excess of the Gate Amount to subsequent Dealing Days, subject to any Gate Amount applicable on any such Dealing Day. Except at the discretion of the </w:t>
      </w:r>
      <w:r w:rsidR="00FD2D2A">
        <w:rPr>
          <w:color w:val="000000"/>
        </w:rPr>
        <w:t>Manager</w:t>
      </w:r>
      <w:r w:rsidRPr="00470248">
        <w:rPr>
          <w:color w:val="000000"/>
        </w:rPr>
        <w:t>,</w:t>
      </w:r>
      <w:r w:rsidR="00FD2D2A">
        <w:rPr>
          <w:color w:val="000000"/>
        </w:rPr>
        <w:t xml:space="preserve"> in consultation with the Directors,</w:t>
      </w:r>
      <w:r w:rsidRPr="00470248">
        <w:rPr>
          <w:color w:val="000000"/>
        </w:rPr>
        <w:t xml:space="preserve"> any such deferred Redemption Application may not be revoked.</w:t>
      </w:r>
    </w:p>
    <w:p w14:paraId="24472306" w14:textId="5B432B51" w:rsidR="00EE4D04" w:rsidRPr="00470248" w:rsidRDefault="00EE4D04" w:rsidP="0098344C">
      <w:pPr>
        <w:pStyle w:val="BodyText"/>
        <w:rPr>
          <w:color w:val="000000"/>
        </w:rPr>
      </w:pPr>
      <w:r w:rsidRPr="00470248">
        <w:rPr>
          <w:color w:val="000000"/>
        </w:rPr>
        <w:t xml:space="preserve">Shareholders may request that Shares be redeemed on any Dealing Day by completing and submitting a Redemption Application to the Administrator in accordance with the procedures set out in the Prospectus.  Redemption Applications will generally not be accepted after the Redemption Cut-Off Time.  Redemption Applications received after the relevant Redemption Cut-Off Time will be held over until the next applicable Dealing Day, unless the </w:t>
      </w:r>
      <w:r w:rsidR="00FD2D2A">
        <w:rPr>
          <w:color w:val="000000"/>
        </w:rPr>
        <w:t xml:space="preserve">Manager determines in consultation with the </w:t>
      </w:r>
      <w:r w:rsidRPr="00470248">
        <w:rPr>
          <w:color w:val="000000"/>
        </w:rPr>
        <w:t xml:space="preserve">Directors, in exceptional circumstances and where such Redemption Applications are received before the relevant Valuation Point, to accept such Redemption Applications on the relevant Dealing Day.  </w:t>
      </w:r>
    </w:p>
    <w:p w14:paraId="58175B25" w14:textId="77777777" w:rsidR="00EE4D04" w:rsidRPr="00470248" w:rsidRDefault="00EA0DA1" w:rsidP="0098344C">
      <w:pPr>
        <w:pStyle w:val="PlainText"/>
        <w:rPr>
          <w:rFonts w:cs="Times New Roman"/>
          <w:szCs w:val="24"/>
        </w:rPr>
      </w:pPr>
      <w:r w:rsidRPr="00470248">
        <w:rPr>
          <w:rFonts w:cs="Times New Roman"/>
          <w:szCs w:val="24"/>
        </w:rPr>
        <w:t>Shares will be redeemed at the applicable NAV per Share on the Dealing Day as of which the redemption is effected</w:t>
      </w:r>
      <w:bookmarkStart w:id="44" w:name="_BPDCI_34"/>
      <w:r w:rsidRPr="002F37CC">
        <w:rPr>
          <w:rFonts w:cs="Times New Roman"/>
          <w:szCs w:val="24"/>
        </w:rPr>
        <w:t xml:space="preserve"> including any dilution levy applicable (as described in the Prospectus under the heading “Determination of Net Asset Value”)</w:t>
      </w:r>
      <w:bookmarkEnd w:id="44"/>
      <w:r w:rsidRPr="00470248">
        <w:rPr>
          <w:rFonts w:cs="Times New Roman"/>
          <w:szCs w:val="24"/>
        </w:rPr>
        <w:t>, subject to any applicable fees associated with such redemption</w:t>
      </w:r>
      <w:bookmarkStart w:id="45" w:name="_BPDCI_35"/>
      <w:r w:rsidRPr="002F37CC">
        <w:rPr>
          <w:rFonts w:cs="Times New Roman"/>
          <w:szCs w:val="24"/>
        </w:rPr>
        <w:t>.</w:t>
      </w:r>
      <w:bookmarkEnd w:id="45"/>
    </w:p>
    <w:p w14:paraId="13107C9A" w14:textId="77777777" w:rsidR="00EE4D04" w:rsidRPr="00470248" w:rsidRDefault="00EE4D04" w:rsidP="0098344C">
      <w:pPr>
        <w:pStyle w:val="PlainText"/>
        <w:rPr>
          <w:rFonts w:cs="Times New Roman"/>
          <w:szCs w:val="24"/>
        </w:rPr>
      </w:pPr>
    </w:p>
    <w:p w14:paraId="7A88D178" w14:textId="77777777" w:rsidR="00EE4D04" w:rsidRPr="00470248" w:rsidRDefault="00EE4D04" w:rsidP="0098344C">
      <w:pPr>
        <w:pStyle w:val="PlainText"/>
        <w:rPr>
          <w:rFonts w:cs="Times New Roman"/>
          <w:b/>
          <w:szCs w:val="24"/>
        </w:rPr>
      </w:pPr>
      <w:r w:rsidRPr="00470248">
        <w:rPr>
          <w:rFonts w:cs="Times New Roman"/>
          <w:b/>
          <w:szCs w:val="24"/>
        </w:rPr>
        <w:t>Settlement Period for Redemptions</w:t>
      </w:r>
    </w:p>
    <w:p w14:paraId="6DD8EB44" w14:textId="77777777" w:rsidR="00EE4D04" w:rsidRPr="00470248" w:rsidRDefault="00EE4D04" w:rsidP="0098344C">
      <w:pPr>
        <w:pStyle w:val="PlainText"/>
        <w:rPr>
          <w:rFonts w:cs="Times New Roman"/>
          <w:szCs w:val="24"/>
        </w:rPr>
      </w:pPr>
    </w:p>
    <w:p w14:paraId="35C68784" w14:textId="77777777" w:rsidR="00EE4D04" w:rsidRPr="00470248" w:rsidRDefault="00EE4D04" w:rsidP="0098344C">
      <w:pPr>
        <w:pStyle w:val="PlainText"/>
        <w:rPr>
          <w:rFonts w:cs="Times New Roman"/>
          <w:color w:val="000000"/>
          <w:szCs w:val="24"/>
        </w:rPr>
      </w:pPr>
      <w:r w:rsidRPr="00470248">
        <w:rPr>
          <w:rFonts w:cs="Times New Roman"/>
          <w:szCs w:val="24"/>
        </w:rPr>
        <w:t xml:space="preserve">Subject to any provisions contained herein, distributions in respect of redemptions will be paid in full (on the basis of unaudited data) in the applicable Class Currency of the Shares being redeemed normally within three Business Days after the relevant Dealing Day and in any event will not exceed ten Business Days. All payments will be made by transfer to the bank account previously designated by Shareholders for such purpose. </w:t>
      </w:r>
    </w:p>
    <w:p w14:paraId="1C499784" w14:textId="77777777" w:rsidR="00EE4D04" w:rsidRPr="00470248" w:rsidRDefault="00EE4D04" w:rsidP="0098344C">
      <w:pPr>
        <w:rPr>
          <w:szCs w:val="24"/>
        </w:rPr>
      </w:pPr>
    </w:p>
    <w:p w14:paraId="4E465E25" w14:textId="77777777" w:rsidR="00EE4D04" w:rsidRDefault="00EE4D04" w:rsidP="0098344C">
      <w:pPr>
        <w:rPr>
          <w:szCs w:val="24"/>
        </w:rPr>
      </w:pPr>
      <w:r w:rsidRPr="00470248">
        <w:rPr>
          <w:szCs w:val="24"/>
        </w:rPr>
        <w:t>Please note that no redemption payment may be made to a Shareholder until the Subscription Agreement and all documentation required by the Company and the Administrator, including any document in connection with all relevant anti-money laundering legislation or other requirements and / or any anti-money laundering procedures have been completed, has been received by the Administrator.</w:t>
      </w:r>
    </w:p>
    <w:p w14:paraId="5BF59306" w14:textId="641271B6" w:rsidR="00662044" w:rsidRDefault="00662044" w:rsidP="0098344C">
      <w:pPr>
        <w:pStyle w:val="PROSPECTUS-LEVEL2"/>
        <w:numPr>
          <w:ilvl w:val="0"/>
          <w:numId w:val="0"/>
        </w:numPr>
        <w:ind w:left="709" w:right="200" w:hanging="709"/>
      </w:pPr>
    </w:p>
    <w:p w14:paraId="68C2306D" w14:textId="77777777" w:rsidR="00C24C6A" w:rsidRDefault="00C24C6A" w:rsidP="00C24C6A">
      <w:pPr>
        <w:pStyle w:val="BodyText"/>
        <w:sectPr w:rsidR="00C24C6A" w:rsidSect="002F37CC">
          <w:headerReference w:type="even" r:id="rId20"/>
          <w:headerReference w:type="default" r:id="rId21"/>
          <w:footerReference w:type="even" r:id="rId22"/>
          <w:footerReference w:type="default" r:id="rId23"/>
          <w:footnotePr>
            <w:numRestart w:val="eachSect"/>
          </w:footnotePr>
          <w:endnotePr>
            <w:numFmt w:val="decimal"/>
          </w:endnotePr>
          <w:pgSz w:w="11908" w:h="16833" w:code="9"/>
          <w:pgMar w:top="1417" w:right="1418" w:bottom="1417" w:left="1418" w:header="709" w:footer="709" w:gutter="0"/>
          <w:cols w:space="720"/>
          <w:docGrid w:linePitch="272"/>
        </w:sectPr>
      </w:pPr>
    </w:p>
    <w:p w14:paraId="32A144A2" w14:textId="1EFFC6A3" w:rsidR="00C24C6A" w:rsidRDefault="00C24C6A" w:rsidP="00C24C6A">
      <w:pPr>
        <w:pStyle w:val="BodyText"/>
        <w:jc w:val="center"/>
        <w:rPr>
          <w:b/>
          <w:sz w:val="26"/>
        </w:rPr>
      </w:pPr>
      <w:r w:rsidRPr="00C24C6A">
        <w:rPr>
          <w:b/>
          <w:sz w:val="26"/>
        </w:rPr>
        <w:lastRenderedPageBreak/>
        <w:t xml:space="preserve">Appendix 1 – Performance Fee Worked Examples </w:t>
      </w:r>
    </w:p>
    <w:p w14:paraId="2D309589" w14:textId="075D3B32" w:rsidR="002D7293" w:rsidRPr="00CE35F1" w:rsidRDefault="002D7293" w:rsidP="00CE35F1">
      <w:pPr>
        <w:rPr>
          <w:sz w:val="18"/>
          <w:szCs w:val="18"/>
        </w:rPr>
      </w:pPr>
      <w:r w:rsidRPr="00BA7DCF">
        <w:rPr>
          <w:sz w:val="18"/>
          <w:szCs w:val="18"/>
        </w:rPr>
        <w:t>The entitlement to the Performance Fee arises when the percentage return is above that of the Benchmark (out</w:t>
      </w:r>
      <w:r>
        <w:rPr>
          <w:sz w:val="18"/>
          <w:szCs w:val="18"/>
        </w:rPr>
        <w:t xml:space="preserve">performance of the Benchmark).  </w:t>
      </w:r>
      <w:r w:rsidRPr="00BA7DCF">
        <w:rPr>
          <w:sz w:val="18"/>
          <w:szCs w:val="18"/>
        </w:rPr>
        <w:t>The Performance Fee amounts to</w:t>
      </w:r>
      <w:r>
        <w:rPr>
          <w:sz w:val="18"/>
          <w:szCs w:val="18"/>
        </w:rPr>
        <w:t xml:space="preserve"> up to</w:t>
      </w:r>
      <w:r w:rsidRPr="00BA7DCF">
        <w:rPr>
          <w:sz w:val="18"/>
          <w:szCs w:val="18"/>
        </w:rPr>
        <w:t xml:space="preserve"> 1</w:t>
      </w:r>
      <w:r>
        <w:rPr>
          <w:sz w:val="18"/>
          <w:szCs w:val="18"/>
        </w:rPr>
        <w:t>5</w:t>
      </w:r>
      <w:r w:rsidRPr="00BA7DCF">
        <w:rPr>
          <w:sz w:val="18"/>
          <w:szCs w:val="18"/>
        </w:rPr>
        <w:t>% p</w:t>
      </w:r>
      <w:r>
        <w:rPr>
          <w:sz w:val="18"/>
          <w:szCs w:val="18"/>
        </w:rPr>
        <w:t>er annum</w:t>
      </w:r>
      <w:r w:rsidRPr="00BA7DCF">
        <w:rPr>
          <w:sz w:val="18"/>
          <w:szCs w:val="18"/>
        </w:rPr>
        <w:t xml:space="preserve"> of the o</w:t>
      </w:r>
      <w:r>
        <w:rPr>
          <w:sz w:val="18"/>
          <w:szCs w:val="18"/>
        </w:rPr>
        <w:t xml:space="preserve">utperformance of the Benchmark.  The Benchmark for the Pacific </w:t>
      </w:r>
      <w:r w:rsidR="00FD25DA">
        <w:rPr>
          <w:sz w:val="18"/>
          <w:szCs w:val="18"/>
        </w:rPr>
        <w:t xml:space="preserve">Global All Cap Opportunities </w:t>
      </w:r>
      <w:r>
        <w:rPr>
          <w:sz w:val="18"/>
          <w:szCs w:val="18"/>
        </w:rPr>
        <w:t xml:space="preserve">Fund is the MSCI World </w:t>
      </w:r>
      <w:r w:rsidR="00BC1E71">
        <w:rPr>
          <w:sz w:val="18"/>
          <w:szCs w:val="18"/>
        </w:rPr>
        <w:t xml:space="preserve">All Cap </w:t>
      </w:r>
      <w:r>
        <w:rPr>
          <w:sz w:val="18"/>
          <w:szCs w:val="18"/>
        </w:rPr>
        <w:t xml:space="preserve">Index (Bloomberg ticker:  </w:t>
      </w:r>
      <w:r w:rsidR="00CE35F1" w:rsidRPr="00CE35F1">
        <w:rPr>
          <w:sz w:val="18"/>
          <w:szCs w:val="18"/>
        </w:rPr>
        <w:t>MXWOAC Index</w:t>
      </w:r>
      <w:r>
        <w:rPr>
          <w:sz w:val="18"/>
          <w:szCs w:val="18"/>
        </w:rPr>
        <w:t>).</w:t>
      </w:r>
      <w:r>
        <w:rPr>
          <w:rFonts w:eastAsia="Calibri" w:cs="Arial"/>
          <w:sz w:val="18"/>
          <w:lang w:val="en-GB"/>
        </w:rPr>
        <w:t xml:space="preserve">  </w:t>
      </w:r>
      <w:r w:rsidRPr="009D4EF4">
        <w:rPr>
          <w:rFonts w:eastAsia="Calibri" w:cs="Arial"/>
          <w:sz w:val="18"/>
          <w:lang w:val="en-GB"/>
        </w:rPr>
        <w:t>To illustrate th</w:t>
      </w:r>
      <w:r>
        <w:rPr>
          <w:rFonts w:eastAsia="Calibri" w:cs="Arial"/>
          <w:sz w:val="18"/>
          <w:lang w:val="en-GB"/>
        </w:rPr>
        <w:t>e potential application of the Performance F</w:t>
      </w:r>
      <w:r w:rsidRPr="009D4EF4">
        <w:rPr>
          <w:rFonts w:eastAsia="Calibri" w:cs="Arial"/>
          <w:sz w:val="18"/>
          <w:lang w:val="en-GB"/>
        </w:rPr>
        <w:t xml:space="preserve">ee and by way of example only, four possible scenarios are set out below and in Figure 1. </w:t>
      </w:r>
    </w:p>
    <w:p w14:paraId="3BE5792B" w14:textId="77777777" w:rsidR="002D7293" w:rsidRDefault="002D7293" w:rsidP="002D7293">
      <w:pPr>
        <w:spacing w:after="160" w:line="259" w:lineRule="auto"/>
        <w:rPr>
          <w:rFonts w:eastAsia="Calibri" w:cs="Arial"/>
          <w:sz w:val="18"/>
          <w:lang w:val="en-GB"/>
        </w:rPr>
      </w:pPr>
      <w:r w:rsidRPr="009D4EF4">
        <w:rPr>
          <w:rFonts w:eastAsia="Calibri" w:cs="Arial"/>
          <w:i/>
          <w:sz w:val="18"/>
          <w:lang w:val="en-GB"/>
        </w:rPr>
        <w:t>Year 1</w:t>
      </w:r>
      <w:r>
        <w:rPr>
          <w:rFonts w:eastAsia="Calibri" w:cs="Arial"/>
          <w:sz w:val="18"/>
          <w:lang w:val="en-GB"/>
        </w:rPr>
        <w:t xml:space="preserve"> </w:t>
      </w:r>
    </w:p>
    <w:p w14:paraId="6D663CA3" w14:textId="77777777" w:rsidR="002D7293" w:rsidRPr="009D4EF4" w:rsidRDefault="002D7293" w:rsidP="002D7293">
      <w:pPr>
        <w:spacing w:after="160" w:line="259" w:lineRule="auto"/>
        <w:rPr>
          <w:rFonts w:eastAsia="Calibri" w:cs="Arial"/>
          <w:sz w:val="18"/>
          <w:lang w:val="en-GB"/>
        </w:rPr>
      </w:pPr>
      <w:r w:rsidRPr="009D4EF4">
        <w:rPr>
          <w:rFonts w:eastAsia="Calibri" w:cs="Arial"/>
          <w:sz w:val="18"/>
          <w:lang w:val="en-GB"/>
        </w:rPr>
        <w:t xml:space="preserve">Between </w:t>
      </w:r>
      <w:r>
        <w:rPr>
          <w:rFonts w:eastAsia="Calibri" w:cs="Arial"/>
          <w:sz w:val="18"/>
          <w:lang w:val="en-GB"/>
        </w:rPr>
        <w:t>1 January</w:t>
      </w:r>
      <w:r w:rsidRPr="009D4EF4">
        <w:rPr>
          <w:rFonts w:eastAsia="Calibri" w:cs="Arial"/>
          <w:sz w:val="18"/>
          <w:lang w:val="en-GB"/>
        </w:rPr>
        <w:t xml:space="preserve"> and 31 December, the </w:t>
      </w:r>
      <w:r>
        <w:rPr>
          <w:rFonts w:eastAsia="Calibri" w:cs="Arial"/>
          <w:sz w:val="18"/>
          <w:lang w:val="en-GB"/>
        </w:rPr>
        <w:t>Benchmark increases</w:t>
      </w:r>
      <w:r w:rsidRPr="009D4EF4">
        <w:rPr>
          <w:rFonts w:eastAsia="Calibri" w:cs="Arial"/>
          <w:sz w:val="18"/>
          <w:lang w:val="en-GB"/>
        </w:rPr>
        <w:t xml:space="preserve"> by 10% and in that same period the Net Asset Value per Share of the Fund </w:t>
      </w:r>
      <w:r>
        <w:rPr>
          <w:rFonts w:eastAsia="Calibri" w:cs="Arial"/>
          <w:sz w:val="18"/>
          <w:lang w:val="en-GB"/>
        </w:rPr>
        <w:t>increases</w:t>
      </w:r>
      <w:r w:rsidRPr="009D4EF4">
        <w:rPr>
          <w:rFonts w:eastAsia="Calibri" w:cs="Arial"/>
          <w:sz w:val="18"/>
          <w:lang w:val="en-GB"/>
        </w:rPr>
        <w:t xml:space="preserve"> by 20% in comparison with the Net Asset Value per Share at </w:t>
      </w:r>
      <w:r>
        <w:rPr>
          <w:rFonts w:eastAsia="Calibri" w:cs="Arial"/>
          <w:sz w:val="18"/>
          <w:lang w:val="en-GB"/>
        </w:rPr>
        <w:t>the beginning of the year</w:t>
      </w:r>
      <w:r w:rsidRPr="009D4EF4">
        <w:rPr>
          <w:rFonts w:eastAsia="Calibri" w:cs="Arial"/>
          <w:sz w:val="18"/>
          <w:lang w:val="en-GB"/>
        </w:rPr>
        <w:t xml:space="preserve">. </w:t>
      </w:r>
    </w:p>
    <w:p w14:paraId="06312723" w14:textId="77777777" w:rsidR="002D7293" w:rsidRPr="009D4EF4" w:rsidRDefault="002D7293" w:rsidP="002D7293">
      <w:pPr>
        <w:spacing w:after="160" w:line="259" w:lineRule="auto"/>
        <w:rPr>
          <w:rFonts w:eastAsia="Calibri" w:cs="Arial"/>
          <w:sz w:val="18"/>
          <w:lang w:val="en-GB"/>
        </w:rPr>
      </w:pPr>
      <w:r w:rsidRPr="009D4EF4">
        <w:rPr>
          <w:rFonts w:eastAsia="Calibri" w:cs="Arial"/>
          <w:sz w:val="18"/>
          <w:lang w:val="en-GB"/>
        </w:rPr>
        <w:t xml:space="preserve">A </w:t>
      </w:r>
      <w:r>
        <w:rPr>
          <w:rFonts w:eastAsia="Calibri" w:cs="Arial"/>
          <w:sz w:val="18"/>
          <w:lang w:val="en-GB"/>
        </w:rPr>
        <w:t>Performance Fee</w:t>
      </w:r>
      <w:r w:rsidRPr="009D4EF4">
        <w:rPr>
          <w:rFonts w:eastAsia="Calibri" w:cs="Arial"/>
          <w:sz w:val="18"/>
          <w:lang w:val="en-GB"/>
        </w:rPr>
        <w:t xml:space="preserve"> will be payable at the end of Year 1 because the Fund has outperformed the Benchmark over th</w:t>
      </w:r>
      <w:r>
        <w:rPr>
          <w:rFonts w:eastAsia="Calibri" w:cs="Arial"/>
          <w:sz w:val="18"/>
          <w:lang w:val="en-GB"/>
        </w:rPr>
        <w:t>e</w:t>
      </w:r>
      <w:r w:rsidRPr="009D4EF4">
        <w:rPr>
          <w:rFonts w:eastAsia="Calibri" w:cs="Arial"/>
          <w:sz w:val="18"/>
          <w:lang w:val="en-GB"/>
        </w:rPr>
        <w:t xml:space="preserve"> </w:t>
      </w:r>
      <w:r>
        <w:rPr>
          <w:rFonts w:eastAsia="Calibri" w:cs="Arial"/>
          <w:sz w:val="18"/>
          <w:lang w:val="en-GB"/>
        </w:rPr>
        <w:t xml:space="preserve">Calculation </w:t>
      </w:r>
      <w:r w:rsidRPr="009D4EF4">
        <w:rPr>
          <w:rFonts w:eastAsia="Calibri" w:cs="Arial"/>
          <w:sz w:val="18"/>
          <w:lang w:val="en-GB"/>
        </w:rPr>
        <w:t xml:space="preserve">Period. The </w:t>
      </w:r>
      <w:r>
        <w:rPr>
          <w:rFonts w:eastAsia="Calibri" w:cs="Arial"/>
          <w:sz w:val="18"/>
          <w:lang w:val="en-GB"/>
        </w:rPr>
        <w:t>Performance Fee</w:t>
      </w:r>
      <w:r w:rsidRPr="009D4EF4">
        <w:rPr>
          <w:rFonts w:eastAsia="Calibri" w:cs="Arial"/>
          <w:sz w:val="18"/>
          <w:lang w:val="en-GB"/>
        </w:rPr>
        <w:t xml:space="preserve"> will be calculated as follows: </w:t>
      </w:r>
    </w:p>
    <w:p w14:paraId="26B72F2D" w14:textId="77777777" w:rsidR="002D7293" w:rsidRPr="009D4EF4" w:rsidRDefault="002D7293" w:rsidP="002D7293">
      <w:pPr>
        <w:spacing w:after="160" w:line="259" w:lineRule="auto"/>
        <w:rPr>
          <w:rFonts w:eastAsia="Calibri" w:cs="Arial"/>
          <w:sz w:val="18"/>
          <w:lang w:val="en-GB"/>
        </w:rPr>
      </w:pPr>
      <w:r w:rsidRPr="009D4EF4">
        <w:rPr>
          <w:rFonts w:eastAsia="Calibri" w:cs="Arial"/>
          <w:sz w:val="18"/>
          <w:lang w:val="en-GB"/>
        </w:rPr>
        <w:t>The Excess Return on 31 December is</w:t>
      </w:r>
      <w:r>
        <w:rPr>
          <w:rFonts w:eastAsia="Calibri" w:cs="Arial"/>
          <w:sz w:val="18"/>
          <w:lang w:val="en-GB"/>
        </w:rPr>
        <w:t xml:space="preserve"> </w:t>
      </w:r>
      <w:r w:rsidRPr="009D4EF4">
        <w:rPr>
          <w:rFonts w:eastAsia="Calibri" w:cs="Arial"/>
          <w:sz w:val="18"/>
          <w:lang w:val="en-GB"/>
        </w:rPr>
        <w:t xml:space="preserve">10% (20% </w:t>
      </w:r>
      <w:r>
        <w:rPr>
          <w:rFonts w:eastAsia="Calibri" w:cs="Arial"/>
          <w:sz w:val="18"/>
          <w:lang w:val="en-GB"/>
        </w:rPr>
        <w:t>less</w:t>
      </w:r>
      <w:r w:rsidRPr="009D4EF4">
        <w:rPr>
          <w:rFonts w:eastAsia="Calibri" w:cs="Arial"/>
          <w:sz w:val="18"/>
          <w:lang w:val="en-GB"/>
        </w:rPr>
        <w:t xml:space="preserve"> 10%)</w:t>
      </w:r>
      <w:r>
        <w:rPr>
          <w:rFonts w:eastAsia="Calibri" w:cs="Arial"/>
          <w:sz w:val="18"/>
          <w:lang w:val="en-GB"/>
        </w:rPr>
        <w:t xml:space="preserve"> so this</w:t>
      </w:r>
      <w:r w:rsidRPr="009D4EF4">
        <w:rPr>
          <w:rFonts w:eastAsia="Calibri" w:cs="Arial"/>
          <w:sz w:val="18"/>
          <w:lang w:val="en-GB"/>
        </w:rPr>
        <w:t xml:space="preserve"> Excess Return of 10% </w:t>
      </w:r>
      <w:r>
        <w:rPr>
          <w:rFonts w:eastAsia="Calibri" w:cs="Arial"/>
          <w:sz w:val="18"/>
          <w:lang w:val="en-GB"/>
        </w:rPr>
        <w:t xml:space="preserve">will be </w:t>
      </w:r>
      <w:r w:rsidRPr="009D4EF4">
        <w:rPr>
          <w:rFonts w:eastAsia="Calibri" w:cs="Arial"/>
          <w:sz w:val="18"/>
          <w:lang w:val="en-GB"/>
        </w:rPr>
        <w:t xml:space="preserve">multiplied by </w:t>
      </w:r>
      <w:r>
        <w:rPr>
          <w:rFonts w:eastAsia="Calibri" w:cs="Arial"/>
          <w:sz w:val="18"/>
          <w:lang w:val="en-GB"/>
        </w:rPr>
        <w:t xml:space="preserve">the Performance Fee rate of </w:t>
      </w:r>
      <w:r w:rsidRPr="009D4EF4">
        <w:rPr>
          <w:rFonts w:eastAsia="Calibri" w:cs="Arial"/>
          <w:sz w:val="18"/>
          <w:lang w:val="en-GB"/>
        </w:rPr>
        <w:t>15%</w:t>
      </w:r>
      <w:r>
        <w:rPr>
          <w:rFonts w:eastAsia="Calibri" w:cs="Arial"/>
          <w:sz w:val="18"/>
          <w:lang w:val="en-GB"/>
        </w:rPr>
        <w:t xml:space="preserve"> resulting in a</w:t>
      </w:r>
      <w:r w:rsidRPr="009D4EF4">
        <w:rPr>
          <w:rFonts w:eastAsia="Calibri" w:cs="Arial"/>
          <w:sz w:val="18"/>
          <w:lang w:val="en-GB"/>
        </w:rPr>
        <w:t xml:space="preserve"> </w:t>
      </w:r>
      <w:r>
        <w:rPr>
          <w:rFonts w:eastAsia="Calibri" w:cs="Arial"/>
          <w:sz w:val="18"/>
          <w:lang w:val="en-GB"/>
        </w:rPr>
        <w:t>P</w:t>
      </w:r>
      <w:r w:rsidRPr="009D4EF4">
        <w:rPr>
          <w:rFonts w:eastAsia="Calibri" w:cs="Arial"/>
          <w:sz w:val="18"/>
          <w:lang w:val="en-GB"/>
        </w:rPr>
        <w:t xml:space="preserve">erformance </w:t>
      </w:r>
      <w:r>
        <w:rPr>
          <w:rFonts w:eastAsia="Calibri" w:cs="Arial"/>
          <w:sz w:val="18"/>
          <w:lang w:val="en-GB"/>
        </w:rPr>
        <w:t>F</w:t>
      </w:r>
      <w:r w:rsidRPr="009D4EF4">
        <w:rPr>
          <w:rFonts w:eastAsia="Calibri" w:cs="Arial"/>
          <w:sz w:val="18"/>
          <w:lang w:val="en-GB"/>
        </w:rPr>
        <w:t xml:space="preserve">ee payable </w:t>
      </w:r>
      <w:r>
        <w:rPr>
          <w:rFonts w:eastAsia="Calibri" w:cs="Arial"/>
          <w:sz w:val="18"/>
          <w:lang w:val="en-GB"/>
        </w:rPr>
        <w:t xml:space="preserve">of </w:t>
      </w:r>
      <w:r w:rsidRPr="009D4EF4">
        <w:rPr>
          <w:rFonts w:eastAsia="Calibri" w:cs="Arial"/>
          <w:sz w:val="18"/>
          <w:lang w:val="en-GB"/>
        </w:rPr>
        <w:t xml:space="preserve">1.5% of the Net Asset Value of the relevant Share Class. </w:t>
      </w:r>
    </w:p>
    <w:p w14:paraId="5C99936F" w14:textId="77777777" w:rsidR="002D7293" w:rsidRDefault="002D7293" w:rsidP="002D7293">
      <w:pPr>
        <w:spacing w:after="160" w:line="259" w:lineRule="auto"/>
        <w:rPr>
          <w:rFonts w:eastAsia="Calibri" w:cs="Arial"/>
          <w:sz w:val="18"/>
          <w:lang w:val="en-GB"/>
        </w:rPr>
      </w:pPr>
      <w:r w:rsidRPr="00C2648B">
        <w:rPr>
          <w:rFonts w:eastAsia="Calibri" w:cs="Arial"/>
          <w:i/>
          <w:sz w:val="18"/>
          <w:lang w:val="en-GB"/>
        </w:rPr>
        <w:t>Year 2</w:t>
      </w:r>
      <w:r>
        <w:rPr>
          <w:rFonts w:eastAsia="Calibri" w:cs="Arial"/>
          <w:sz w:val="18"/>
          <w:lang w:val="en-GB"/>
        </w:rPr>
        <w:t xml:space="preserve"> </w:t>
      </w:r>
    </w:p>
    <w:p w14:paraId="0AB9EB1C" w14:textId="77777777" w:rsidR="002D7293" w:rsidRPr="009D4EF4" w:rsidRDefault="002D7293" w:rsidP="002D7293">
      <w:pPr>
        <w:spacing w:after="160" w:line="259" w:lineRule="auto"/>
        <w:rPr>
          <w:rFonts w:eastAsia="Calibri" w:cs="Arial"/>
          <w:sz w:val="18"/>
          <w:lang w:val="en-GB"/>
        </w:rPr>
      </w:pPr>
      <w:r>
        <w:rPr>
          <w:rFonts w:eastAsia="Calibri" w:cs="Arial"/>
          <w:sz w:val="18"/>
          <w:lang w:val="en-GB"/>
        </w:rPr>
        <w:t>Because a Performance F</w:t>
      </w:r>
      <w:r w:rsidRPr="009D4EF4">
        <w:rPr>
          <w:rFonts w:eastAsia="Calibri" w:cs="Arial"/>
          <w:sz w:val="18"/>
          <w:lang w:val="en-GB"/>
        </w:rPr>
        <w:t xml:space="preserve">ee has been charged at the end of Year 1 a new </w:t>
      </w:r>
      <w:r>
        <w:rPr>
          <w:rFonts w:eastAsia="Calibri" w:cs="Arial"/>
          <w:sz w:val="18"/>
          <w:lang w:val="en-GB"/>
        </w:rPr>
        <w:t xml:space="preserve">Calculation </w:t>
      </w:r>
      <w:r w:rsidRPr="009D4EF4">
        <w:rPr>
          <w:rFonts w:eastAsia="Calibri" w:cs="Arial"/>
          <w:sz w:val="18"/>
          <w:lang w:val="en-GB"/>
        </w:rPr>
        <w:t xml:space="preserve">Period will begin from 1 January in Year 2. </w:t>
      </w:r>
      <w:r>
        <w:rPr>
          <w:rFonts w:eastAsia="Calibri" w:cs="Arial"/>
          <w:sz w:val="18"/>
          <w:lang w:val="en-GB"/>
        </w:rPr>
        <w:t xml:space="preserve"> </w:t>
      </w:r>
      <w:r w:rsidRPr="009D4EF4">
        <w:rPr>
          <w:rFonts w:eastAsia="Calibri" w:cs="Arial"/>
          <w:sz w:val="18"/>
          <w:lang w:val="en-GB"/>
        </w:rPr>
        <w:t xml:space="preserve">Between 1 January and 31 December of Year 2 the </w:t>
      </w:r>
      <w:r>
        <w:rPr>
          <w:rFonts w:eastAsia="Calibri" w:cs="Arial"/>
          <w:sz w:val="18"/>
          <w:lang w:val="en-GB"/>
        </w:rPr>
        <w:t>Benchmark</w:t>
      </w:r>
      <w:r w:rsidRPr="009D4EF4">
        <w:rPr>
          <w:rFonts w:eastAsia="Calibri" w:cs="Arial"/>
          <w:sz w:val="18"/>
          <w:lang w:val="en-GB"/>
        </w:rPr>
        <w:t xml:space="preserve"> </w:t>
      </w:r>
      <w:r>
        <w:rPr>
          <w:rFonts w:eastAsia="Calibri" w:cs="Arial"/>
          <w:sz w:val="18"/>
          <w:lang w:val="en-GB"/>
        </w:rPr>
        <w:t>increases</w:t>
      </w:r>
      <w:r w:rsidRPr="009D4EF4">
        <w:rPr>
          <w:rFonts w:eastAsia="Calibri" w:cs="Arial"/>
          <w:sz w:val="18"/>
          <w:lang w:val="en-GB"/>
        </w:rPr>
        <w:t xml:space="preserve"> by 10% and in that same period the Net Asset Value per Share of the </w:t>
      </w:r>
      <w:r>
        <w:rPr>
          <w:rFonts w:eastAsia="Calibri" w:cs="Arial"/>
          <w:sz w:val="18"/>
          <w:lang w:val="en-GB"/>
        </w:rPr>
        <w:t>increases</w:t>
      </w:r>
      <w:r w:rsidRPr="009D4EF4">
        <w:rPr>
          <w:rFonts w:eastAsia="Calibri" w:cs="Arial"/>
          <w:sz w:val="18"/>
          <w:lang w:val="en-GB"/>
        </w:rPr>
        <w:t xml:space="preserve"> by 5% in comparison with the Net Asset Value per Share at the beginning of Year 2. </w:t>
      </w:r>
    </w:p>
    <w:p w14:paraId="197D4639" w14:textId="77777777" w:rsidR="002D7293" w:rsidRPr="009D4EF4" w:rsidRDefault="002D7293" w:rsidP="002D7293">
      <w:pPr>
        <w:spacing w:after="160" w:line="259" w:lineRule="auto"/>
        <w:rPr>
          <w:rFonts w:eastAsia="Calibri" w:cs="Arial"/>
          <w:sz w:val="18"/>
          <w:lang w:val="en-GB"/>
        </w:rPr>
      </w:pPr>
      <w:r>
        <w:rPr>
          <w:rFonts w:eastAsia="Calibri" w:cs="Arial"/>
          <w:sz w:val="18"/>
          <w:lang w:val="en-GB"/>
        </w:rPr>
        <w:t>No Performance F</w:t>
      </w:r>
      <w:r w:rsidRPr="009D4EF4">
        <w:rPr>
          <w:rFonts w:eastAsia="Calibri" w:cs="Arial"/>
          <w:sz w:val="18"/>
          <w:lang w:val="en-GB"/>
        </w:rPr>
        <w:t>ee will be paid even though the performance of Fund has been positive</w:t>
      </w:r>
      <w:r>
        <w:rPr>
          <w:rFonts w:eastAsia="Calibri" w:cs="Arial"/>
          <w:sz w:val="18"/>
          <w:lang w:val="en-GB"/>
        </w:rPr>
        <w:t xml:space="preserve">, so </w:t>
      </w:r>
      <w:r w:rsidRPr="009D4EF4">
        <w:rPr>
          <w:rFonts w:eastAsia="Calibri" w:cs="Arial"/>
          <w:sz w:val="18"/>
          <w:lang w:val="en-GB"/>
        </w:rPr>
        <w:t xml:space="preserve">the </w:t>
      </w:r>
      <w:r>
        <w:rPr>
          <w:rFonts w:eastAsia="Calibri" w:cs="Arial"/>
          <w:sz w:val="18"/>
          <w:lang w:val="en-GB"/>
        </w:rPr>
        <w:t xml:space="preserve">Calculation </w:t>
      </w:r>
      <w:r w:rsidRPr="009D4EF4">
        <w:rPr>
          <w:rFonts w:eastAsia="Calibri" w:cs="Arial"/>
          <w:sz w:val="18"/>
          <w:lang w:val="en-GB"/>
        </w:rPr>
        <w:t xml:space="preserve">Period will continue into Year 3. </w:t>
      </w:r>
    </w:p>
    <w:p w14:paraId="75FBC342" w14:textId="77777777" w:rsidR="002D7293" w:rsidRDefault="002D7293" w:rsidP="002D7293">
      <w:pPr>
        <w:spacing w:after="160" w:line="259" w:lineRule="auto"/>
        <w:rPr>
          <w:rFonts w:eastAsia="Calibri" w:cs="Arial"/>
          <w:sz w:val="18"/>
          <w:lang w:val="en-GB"/>
        </w:rPr>
      </w:pPr>
      <w:r w:rsidRPr="009D4EF4">
        <w:rPr>
          <w:rFonts w:eastAsia="Calibri" w:cs="Arial"/>
          <w:i/>
          <w:sz w:val="18"/>
          <w:lang w:val="en-GB"/>
        </w:rPr>
        <w:t>Year 3</w:t>
      </w:r>
      <w:r>
        <w:rPr>
          <w:rFonts w:eastAsia="Calibri" w:cs="Arial"/>
          <w:sz w:val="18"/>
          <w:lang w:val="en-GB"/>
        </w:rPr>
        <w:t xml:space="preserve"> </w:t>
      </w:r>
    </w:p>
    <w:p w14:paraId="567EB0EA" w14:textId="77777777" w:rsidR="002D7293" w:rsidRDefault="002D7293" w:rsidP="002D7293">
      <w:pPr>
        <w:spacing w:after="160" w:line="259" w:lineRule="auto"/>
        <w:rPr>
          <w:rFonts w:eastAsia="Calibri" w:cs="Arial"/>
          <w:sz w:val="18"/>
          <w:lang w:val="en-GB"/>
        </w:rPr>
      </w:pPr>
      <w:r>
        <w:rPr>
          <w:rFonts w:eastAsia="Calibri" w:cs="Arial"/>
          <w:sz w:val="18"/>
          <w:lang w:val="en-GB"/>
        </w:rPr>
        <w:t>Because no Performance F</w:t>
      </w:r>
      <w:r w:rsidRPr="009D4EF4">
        <w:rPr>
          <w:rFonts w:eastAsia="Calibri" w:cs="Arial"/>
          <w:sz w:val="18"/>
          <w:lang w:val="en-GB"/>
        </w:rPr>
        <w:t xml:space="preserve">ee was charged in Year 2 the performance of the Fund will continue to be measured from 1 January of Year 2. </w:t>
      </w:r>
      <w:r>
        <w:rPr>
          <w:rFonts w:eastAsia="Calibri" w:cs="Arial"/>
          <w:sz w:val="18"/>
          <w:lang w:val="en-GB"/>
        </w:rPr>
        <w:t xml:space="preserve"> </w:t>
      </w:r>
    </w:p>
    <w:p w14:paraId="5555D740" w14:textId="77777777" w:rsidR="002D7293" w:rsidRDefault="002D7293" w:rsidP="002D7293">
      <w:pPr>
        <w:spacing w:after="160" w:line="259" w:lineRule="auto"/>
        <w:rPr>
          <w:rFonts w:eastAsia="Calibri" w:cs="Arial"/>
          <w:sz w:val="18"/>
          <w:lang w:val="en-GB"/>
        </w:rPr>
      </w:pPr>
      <w:r>
        <w:rPr>
          <w:rFonts w:eastAsia="Calibri" w:cs="Arial"/>
          <w:sz w:val="18"/>
          <w:lang w:val="en-GB"/>
        </w:rPr>
        <w:t xml:space="preserve">Between 1 January and 31 December of Year 3 the Benchmark falls by 20% and in that same period the Net Asset Value per Share of the Fund falls by 0%.  </w:t>
      </w:r>
    </w:p>
    <w:p w14:paraId="592F8EB6" w14:textId="77777777" w:rsidR="002D7293" w:rsidRPr="009D4EF4" w:rsidRDefault="002D7293" w:rsidP="002D7293">
      <w:pPr>
        <w:spacing w:after="160" w:line="259" w:lineRule="auto"/>
        <w:rPr>
          <w:rFonts w:eastAsia="Calibri" w:cs="Arial"/>
          <w:sz w:val="18"/>
          <w:lang w:val="en-GB"/>
        </w:rPr>
      </w:pPr>
      <w:r>
        <w:rPr>
          <w:rFonts w:eastAsia="Calibri" w:cs="Arial"/>
          <w:sz w:val="18"/>
          <w:lang w:val="en-GB"/>
        </w:rPr>
        <w:t xml:space="preserve">As such, </w:t>
      </w:r>
      <w:r w:rsidRPr="009D4EF4">
        <w:rPr>
          <w:rFonts w:eastAsia="Calibri" w:cs="Arial"/>
          <w:sz w:val="18"/>
          <w:lang w:val="en-GB"/>
        </w:rPr>
        <w:t xml:space="preserve">between 1 January of Year 2 and 31 December of Year 3 (a two year period) the overall </w:t>
      </w:r>
      <w:r>
        <w:rPr>
          <w:rFonts w:eastAsia="Calibri" w:cs="Arial"/>
          <w:sz w:val="18"/>
          <w:lang w:val="en-GB"/>
        </w:rPr>
        <w:t xml:space="preserve">compounded </w:t>
      </w:r>
      <w:r w:rsidRPr="009D4EF4">
        <w:rPr>
          <w:rFonts w:eastAsia="Calibri" w:cs="Arial"/>
          <w:sz w:val="18"/>
          <w:lang w:val="en-GB"/>
        </w:rPr>
        <w:t xml:space="preserve">performance of the </w:t>
      </w:r>
      <w:r>
        <w:rPr>
          <w:rFonts w:eastAsia="Calibri" w:cs="Arial"/>
          <w:sz w:val="18"/>
          <w:lang w:val="en-GB"/>
        </w:rPr>
        <w:t>Benchmark</w:t>
      </w:r>
      <w:r w:rsidRPr="009D4EF4">
        <w:rPr>
          <w:rFonts w:eastAsia="Calibri" w:cs="Arial"/>
          <w:sz w:val="18"/>
          <w:lang w:val="en-GB"/>
        </w:rPr>
        <w:t xml:space="preserve"> </w:t>
      </w:r>
      <w:r>
        <w:rPr>
          <w:rFonts w:eastAsia="Calibri" w:cs="Arial"/>
          <w:sz w:val="18"/>
          <w:lang w:val="en-GB"/>
        </w:rPr>
        <w:t>falls</w:t>
      </w:r>
      <w:r w:rsidRPr="009D4EF4">
        <w:rPr>
          <w:rFonts w:eastAsia="Calibri" w:cs="Arial"/>
          <w:sz w:val="18"/>
          <w:lang w:val="en-GB"/>
        </w:rPr>
        <w:t xml:space="preserve"> by 1</w:t>
      </w:r>
      <w:r>
        <w:rPr>
          <w:rFonts w:eastAsia="Calibri" w:cs="Arial"/>
          <w:sz w:val="18"/>
          <w:lang w:val="en-GB"/>
        </w:rPr>
        <w:t>2</w:t>
      </w:r>
      <w:r w:rsidRPr="009D4EF4">
        <w:rPr>
          <w:rFonts w:eastAsia="Calibri" w:cs="Arial"/>
          <w:sz w:val="18"/>
          <w:lang w:val="en-GB"/>
        </w:rPr>
        <w:t xml:space="preserve">% </w:t>
      </w:r>
      <w:r>
        <w:rPr>
          <w:rFonts w:eastAsia="Calibri" w:cs="Arial"/>
          <w:sz w:val="18"/>
          <w:lang w:val="en-GB"/>
        </w:rPr>
        <w:t xml:space="preserve">(100 increased by 10% in Year 2 equals 110, which then reduced by 20% in Year 3 equals 88 at the end) </w:t>
      </w:r>
      <w:r w:rsidRPr="009D4EF4">
        <w:rPr>
          <w:rFonts w:eastAsia="Calibri" w:cs="Arial"/>
          <w:sz w:val="18"/>
          <w:lang w:val="en-GB"/>
        </w:rPr>
        <w:t xml:space="preserve">and over that same period the Net Asset Value per Share of the Fund goes up by 5% in comparison with the Net Asset Value per Share at the beginning of Year 2 </w:t>
      </w:r>
      <w:r>
        <w:rPr>
          <w:rFonts w:eastAsia="Calibri" w:cs="Arial"/>
          <w:sz w:val="18"/>
          <w:lang w:val="en-GB"/>
        </w:rPr>
        <w:t xml:space="preserve">(100 increased by 5% in Year 1 equals 105, which then reduced by 0% in Year 3 equals 105 at the end) </w:t>
      </w:r>
      <w:r w:rsidRPr="009D4EF4">
        <w:rPr>
          <w:rFonts w:eastAsia="Calibri" w:cs="Arial"/>
          <w:sz w:val="18"/>
          <w:lang w:val="en-GB"/>
        </w:rPr>
        <w:t xml:space="preserve">then a </w:t>
      </w:r>
      <w:r>
        <w:rPr>
          <w:rFonts w:eastAsia="Calibri" w:cs="Arial"/>
          <w:sz w:val="18"/>
          <w:lang w:val="en-GB"/>
        </w:rPr>
        <w:t>P</w:t>
      </w:r>
      <w:r w:rsidRPr="009D4EF4">
        <w:rPr>
          <w:rFonts w:eastAsia="Calibri" w:cs="Arial"/>
          <w:sz w:val="18"/>
          <w:lang w:val="en-GB"/>
        </w:rPr>
        <w:t xml:space="preserve">erformance </w:t>
      </w:r>
      <w:r>
        <w:rPr>
          <w:rFonts w:eastAsia="Calibri" w:cs="Arial"/>
          <w:sz w:val="18"/>
          <w:lang w:val="en-GB"/>
        </w:rPr>
        <w:t>F</w:t>
      </w:r>
      <w:r w:rsidRPr="009D4EF4">
        <w:rPr>
          <w:rFonts w:eastAsia="Calibri" w:cs="Arial"/>
          <w:sz w:val="18"/>
          <w:lang w:val="en-GB"/>
        </w:rPr>
        <w:t xml:space="preserve">ee will be payable </w:t>
      </w:r>
      <w:r>
        <w:rPr>
          <w:rFonts w:eastAsia="Calibri" w:cs="Arial"/>
          <w:sz w:val="18"/>
          <w:lang w:val="en-GB"/>
        </w:rPr>
        <w:t>as the</w:t>
      </w:r>
      <w:r w:rsidRPr="009D4EF4">
        <w:rPr>
          <w:rFonts w:eastAsia="Calibri" w:cs="Arial"/>
          <w:sz w:val="18"/>
          <w:lang w:val="en-GB"/>
        </w:rPr>
        <w:t xml:space="preserve"> </w:t>
      </w:r>
      <w:r>
        <w:rPr>
          <w:rFonts w:eastAsia="Calibri" w:cs="Arial"/>
          <w:sz w:val="18"/>
          <w:lang w:val="en-GB"/>
        </w:rPr>
        <w:t>u</w:t>
      </w:r>
      <w:r w:rsidRPr="009D4EF4">
        <w:rPr>
          <w:rFonts w:eastAsia="Calibri" w:cs="Arial"/>
          <w:sz w:val="18"/>
          <w:lang w:val="en-GB"/>
        </w:rPr>
        <w:t xml:space="preserve">nderperformance </w:t>
      </w:r>
      <w:r>
        <w:rPr>
          <w:rFonts w:eastAsia="Calibri" w:cs="Arial"/>
          <w:sz w:val="18"/>
          <w:lang w:val="en-GB"/>
        </w:rPr>
        <w:t>from</w:t>
      </w:r>
      <w:r w:rsidRPr="009D4EF4">
        <w:rPr>
          <w:rFonts w:eastAsia="Calibri" w:cs="Arial"/>
          <w:sz w:val="18"/>
          <w:lang w:val="en-GB"/>
        </w:rPr>
        <w:t xml:space="preserve"> Year 2 has been recovered</w:t>
      </w:r>
      <w:r>
        <w:rPr>
          <w:rFonts w:eastAsia="Calibri" w:cs="Arial"/>
          <w:sz w:val="18"/>
          <w:lang w:val="en-GB"/>
        </w:rPr>
        <w:t xml:space="preserve"> and the Fund has outperformed the Benchmark over the two year Calculation Period</w:t>
      </w:r>
      <w:r w:rsidRPr="009D4EF4">
        <w:rPr>
          <w:rFonts w:eastAsia="Calibri" w:cs="Arial"/>
          <w:sz w:val="18"/>
          <w:lang w:val="en-GB"/>
        </w:rPr>
        <w:t xml:space="preserve">. </w:t>
      </w:r>
    </w:p>
    <w:p w14:paraId="1082BB81" w14:textId="77777777" w:rsidR="002D7293" w:rsidRPr="009D4EF4" w:rsidRDefault="002D7293" w:rsidP="002D7293">
      <w:pPr>
        <w:spacing w:after="160" w:line="259" w:lineRule="auto"/>
        <w:rPr>
          <w:rFonts w:eastAsia="Calibri" w:cs="Arial"/>
          <w:sz w:val="18"/>
          <w:lang w:val="en-GB"/>
        </w:rPr>
      </w:pPr>
      <w:r w:rsidRPr="009D4EF4">
        <w:rPr>
          <w:rFonts w:eastAsia="Calibri" w:cs="Arial"/>
          <w:sz w:val="18"/>
          <w:lang w:val="en-GB"/>
        </w:rPr>
        <w:t xml:space="preserve">The Excess Return of the relevant Share Class over the </w:t>
      </w:r>
      <w:r>
        <w:rPr>
          <w:rFonts w:eastAsia="Calibri" w:cs="Arial"/>
          <w:sz w:val="18"/>
          <w:lang w:val="en-GB"/>
        </w:rPr>
        <w:t xml:space="preserve">Calculation </w:t>
      </w:r>
      <w:r w:rsidRPr="009D4EF4">
        <w:rPr>
          <w:rFonts w:eastAsia="Calibri" w:cs="Arial"/>
          <w:sz w:val="18"/>
          <w:lang w:val="en-GB"/>
        </w:rPr>
        <w:t>Period is equal to 1</w:t>
      </w:r>
      <w:r>
        <w:rPr>
          <w:rFonts w:eastAsia="Calibri" w:cs="Arial"/>
          <w:sz w:val="18"/>
          <w:lang w:val="en-GB"/>
        </w:rPr>
        <w:t>7</w:t>
      </w:r>
      <w:r w:rsidRPr="009D4EF4">
        <w:rPr>
          <w:rFonts w:eastAsia="Calibri" w:cs="Arial"/>
          <w:sz w:val="18"/>
          <w:lang w:val="en-GB"/>
        </w:rPr>
        <w:t xml:space="preserve">% (5% </w:t>
      </w:r>
      <w:r>
        <w:rPr>
          <w:rFonts w:eastAsia="Calibri" w:cs="Arial"/>
          <w:sz w:val="18"/>
          <w:lang w:val="en-GB"/>
        </w:rPr>
        <w:t>less</w:t>
      </w:r>
      <w:r w:rsidRPr="009D4EF4">
        <w:rPr>
          <w:rFonts w:eastAsia="Calibri" w:cs="Arial"/>
          <w:sz w:val="18"/>
          <w:lang w:val="en-GB"/>
        </w:rPr>
        <w:t xml:space="preserve"> -1</w:t>
      </w:r>
      <w:r>
        <w:rPr>
          <w:rFonts w:eastAsia="Calibri" w:cs="Arial"/>
          <w:sz w:val="18"/>
          <w:lang w:val="en-GB"/>
        </w:rPr>
        <w:t>2</w:t>
      </w:r>
      <w:r w:rsidRPr="009D4EF4">
        <w:rPr>
          <w:rFonts w:eastAsia="Calibri" w:cs="Arial"/>
          <w:sz w:val="18"/>
          <w:lang w:val="en-GB"/>
        </w:rPr>
        <w:t>%)</w:t>
      </w:r>
      <w:r>
        <w:rPr>
          <w:rFonts w:eastAsia="Calibri" w:cs="Arial"/>
          <w:sz w:val="18"/>
          <w:lang w:val="en-GB"/>
        </w:rPr>
        <w:t xml:space="preserve"> so this Excess Return of 17% will be multiplied by the Performance Fee rate of 15% resulting in a Performance Fee payable of 2.55% </w:t>
      </w:r>
      <w:r w:rsidRPr="009D4EF4">
        <w:rPr>
          <w:rFonts w:eastAsia="Calibri" w:cs="Arial"/>
          <w:sz w:val="18"/>
          <w:lang w:val="en-GB"/>
        </w:rPr>
        <w:t xml:space="preserve">of the Net Asset Value of the relevant Share Class. </w:t>
      </w:r>
    </w:p>
    <w:p w14:paraId="0260001C" w14:textId="77777777" w:rsidR="002D7293" w:rsidRDefault="002D7293" w:rsidP="002D7293">
      <w:pPr>
        <w:spacing w:after="160" w:line="259" w:lineRule="auto"/>
        <w:rPr>
          <w:rFonts w:eastAsia="Calibri" w:cs="Arial"/>
          <w:sz w:val="18"/>
          <w:lang w:val="en-GB"/>
        </w:rPr>
      </w:pPr>
      <w:r w:rsidRPr="009D4EF4">
        <w:rPr>
          <w:rFonts w:eastAsia="Calibri" w:cs="Arial"/>
          <w:i/>
          <w:sz w:val="18"/>
          <w:lang w:val="en-GB"/>
        </w:rPr>
        <w:t>Year 4</w:t>
      </w:r>
      <w:r>
        <w:rPr>
          <w:rFonts w:eastAsia="Calibri" w:cs="Arial"/>
          <w:sz w:val="18"/>
          <w:lang w:val="en-GB"/>
        </w:rPr>
        <w:t xml:space="preserve"> </w:t>
      </w:r>
    </w:p>
    <w:p w14:paraId="37F0E726" w14:textId="77777777" w:rsidR="002D7293" w:rsidRPr="009D4EF4" w:rsidRDefault="002D7293" w:rsidP="002D7293">
      <w:pPr>
        <w:spacing w:after="160" w:line="259" w:lineRule="auto"/>
        <w:rPr>
          <w:rFonts w:eastAsia="Calibri" w:cs="Arial"/>
          <w:sz w:val="18"/>
          <w:lang w:val="en-GB"/>
        </w:rPr>
      </w:pPr>
      <w:r w:rsidRPr="009D4EF4">
        <w:rPr>
          <w:rFonts w:eastAsia="Calibri" w:cs="Arial"/>
          <w:sz w:val="18"/>
          <w:lang w:val="en-GB"/>
        </w:rPr>
        <w:t xml:space="preserve">In </w:t>
      </w:r>
      <w:r>
        <w:rPr>
          <w:rFonts w:eastAsia="Calibri" w:cs="Arial"/>
          <w:sz w:val="18"/>
          <w:lang w:val="en-GB"/>
        </w:rPr>
        <w:t>Y</w:t>
      </w:r>
      <w:r w:rsidRPr="009D4EF4">
        <w:rPr>
          <w:rFonts w:eastAsia="Calibri" w:cs="Arial"/>
          <w:sz w:val="18"/>
          <w:lang w:val="en-GB"/>
        </w:rPr>
        <w:t xml:space="preserve">ear 4 the </w:t>
      </w:r>
      <w:r>
        <w:rPr>
          <w:rFonts w:eastAsia="Calibri" w:cs="Arial"/>
          <w:sz w:val="18"/>
          <w:lang w:val="en-GB"/>
        </w:rPr>
        <w:t>Benchmark</w:t>
      </w:r>
      <w:r w:rsidRPr="009D4EF4">
        <w:rPr>
          <w:rFonts w:eastAsia="Calibri" w:cs="Arial"/>
          <w:sz w:val="18"/>
          <w:lang w:val="en-GB"/>
        </w:rPr>
        <w:t xml:space="preserve"> </w:t>
      </w:r>
      <w:r>
        <w:rPr>
          <w:rFonts w:eastAsia="Calibri" w:cs="Arial"/>
          <w:sz w:val="18"/>
          <w:lang w:val="en-GB"/>
        </w:rPr>
        <w:t>falls</w:t>
      </w:r>
      <w:r w:rsidRPr="009D4EF4">
        <w:rPr>
          <w:rFonts w:eastAsia="Calibri" w:cs="Arial"/>
          <w:sz w:val="18"/>
          <w:lang w:val="en-GB"/>
        </w:rPr>
        <w:t xml:space="preserve"> by 6% and the </w:t>
      </w:r>
      <w:r>
        <w:rPr>
          <w:rFonts w:eastAsia="Calibri" w:cs="Arial"/>
          <w:sz w:val="18"/>
          <w:lang w:val="en-GB"/>
        </w:rPr>
        <w:t xml:space="preserve">Net Asset Value per Share </w:t>
      </w:r>
      <w:r w:rsidRPr="009D4EF4">
        <w:rPr>
          <w:rFonts w:eastAsia="Calibri" w:cs="Arial"/>
          <w:sz w:val="18"/>
          <w:lang w:val="en-GB"/>
        </w:rPr>
        <w:t xml:space="preserve">of the Fund </w:t>
      </w:r>
      <w:r>
        <w:rPr>
          <w:rFonts w:eastAsia="Calibri" w:cs="Arial"/>
          <w:sz w:val="18"/>
          <w:lang w:val="en-GB"/>
        </w:rPr>
        <w:t>falls</w:t>
      </w:r>
      <w:r w:rsidRPr="009D4EF4">
        <w:rPr>
          <w:rFonts w:eastAsia="Calibri" w:cs="Arial"/>
          <w:sz w:val="18"/>
          <w:lang w:val="en-GB"/>
        </w:rPr>
        <w:t xml:space="preserve"> by 3%. Although the Fu</w:t>
      </w:r>
      <w:r>
        <w:rPr>
          <w:rFonts w:eastAsia="Calibri" w:cs="Arial"/>
          <w:sz w:val="18"/>
          <w:lang w:val="en-GB"/>
        </w:rPr>
        <w:t>nd has negative performance, a Performance F</w:t>
      </w:r>
      <w:r w:rsidRPr="009D4EF4">
        <w:rPr>
          <w:rFonts w:eastAsia="Calibri" w:cs="Arial"/>
          <w:sz w:val="18"/>
          <w:lang w:val="en-GB"/>
        </w:rPr>
        <w:t xml:space="preserve">ee will be payable because the Fund has outperformed the Benchmark over the relevant </w:t>
      </w:r>
      <w:r>
        <w:rPr>
          <w:rFonts w:eastAsia="Calibri" w:cs="Arial"/>
          <w:sz w:val="18"/>
          <w:lang w:val="en-GB"/>
        </w:rPr>
        <w:t xml:space="preserve">Calculation </w:t>
      </w:r>
      <w:r w:rsidRPr="009D4EF4">
        <w:rPr>
          <w:rFonts w:eastAsia="Calibri" w:cs="Arial"/>
          <w:sz w:val="18"/>
          <w:lang w:val="en-GB"/>
        </w:rPr>
        <w:t xml:space="preserve">Period. </w:t>
      </w:r>
    </w:p>
    <w:p w14:paraId="2FE06065" w14:textId="77777777" w:rsidR="002D7293" w:rsidRPr="009D4EF4" w:rsidRDefault="002D7293" w:rsidP="002D7293">
      <w:pPr>
        <w:spacing w:after="160" w:line="259" w:lineRule="auto"/>
        <w:rPr>
          <w:rFonts w:eastAsia="Calibri" w:cs="Arial"/>
          <w:sz w:val="18"/>
          <w:lang w:val="en-GB"/>
        </w:rPr>
      </w:pPr>
      <w:r w:rsidRPr="009D4EF4">
        <w:rPr>
          <w:rFonts w:eastAsia="Calibri" w:cs="Arial"/>
          <w:sz w:val="18"/>
          <w:lang w:val="en-GB"/>
        </w:rPr>
        <w:t xml:space="preserve">The Excess Return of the relevant Share Class over the </w:t>
      </w:r>
      <w:r>
        <w:rPr>
          <w:rFonts w:eastAsia="Calibri" w:cs="Arial"/>
          <w:sz w:val="18"/>
          <w:lang w:val="en-GB"/>
        </w:rPr>
        <w:t xml:space="preserve">Calculation </w:t>
      </w:r>
      <w:r w:rsidRPr="009D4EF4">
        <w:rPr>
          <w:rFonts w:eastAsia="Calibri" w:cs="Arial"/>
          <w:sz w:val="18"/>
          <w:lang w:val="en-GB"/>
        </w:rPr>
        <w:t>Period is equal to 3%</w:t>
      </w:r>
      <w:r>
        <w:rPr>
          <w:rFonts w:eastAsia="Calibri" w:cs="Arial"/>
          <w:sz w:val="18"/>
          <w:lang w:val="en-GB"/>
        </w:rPr>
        <w:t xml:space="preserve"> (-3% less -6%)</w:t>
      </w:r>
      <w:r w:rsidRPr="009D4EF4">
        <w:rPr>
          <w:rFonts w:eastAsia="Calibri" w:cs="Arial"/>
          <w:sz w:val="18"/>
          <w:lang w:val="en-GB"/>
        </w:rPr>
        <w:t xml:space="preserve"> </w:t>
      </w:r>
      <w:r>
        <w:rPr>
          <w:rFonts w:eastAsia="Calibri" w:cs="Arial"/>
          <w:sz w:val="18"/>
          <w:lang w:val="en-GB"/>
        </w:rPr>
        <w:t xml:space="preserve">so this </w:t>
      </w:r>
      <w:r w:rsidRPr="009D4EF4">
        <w:rPr>
          <w:rFonts w:eastAsia="Calibri" w:cs="Arial"/>
          <w:sz w:val="18"/>
          <w:lang w:val="en-GB"/>
        </w:rPr>
        <w:t>Excess Return of 3%</w:t>
      </w:r>
      <w:r>
        <w:rPr>
          <w:rFonts w:eastAsia="Calibri" w:cs="Arial"/>
          <w:sz w:val="18"/>
          <w:lang w:val="en-GB"/>
        </w:rPr>
        <w:t xml:space="preserve"> will be </w:t>
      </w:r>
      <w:r w:rsidRPr="009D4EF4">
        <w:rPr>
          <w:rFonts w:eastAsia="Calibri" w:cs="Arial"/>
          <w:sz w:val="18"/>
          <w:lang w:val="en-GB"/>
        </w:rPr>
        <w:t xml:space="preserve">multiplied by </w:t>
      </w:r>
      <w:r>
        <w:rPr>
          <w:rFonts w:eastAsia="Calibri" w:cs="Arial"/>
          <w:sz w:val="18"/>
          <w:lang w:val="en-GB"/>
        </w:rPr>
        <w:t xml:space="preserve">the Performance Fee rate of </w:t>
      </w:r>
      <w:r w:rsidRPr="009D4EF4">
        <w:rPr>
          <w:rFonts w:eastAsia="Calibri" w:cs="Arial"/>
          <w:sz w:val="18"/>
          <w:lang w:val="en-GB"/>
        </w:rPr>
        <w:t>15%</w:t>
      </w:r>
      <w:r>
        <w:rPr>
          <w:rFonts w:eastAsia="Calibri" w:cs="Arial"/>
          <w:sz w:val="18"/>
          <w:lang w:val="en-GB"/>
        </w:rPr>
        <w:t xml:space="preserve"> resulting in a</w:t>
      </w:r>
      <w:r w:rsidRPr="009D4EF4">
        <w:rPr>
          <w:rFonts w:eastAsia="Calibri" w:cs="Arial"/>
          <w:sz w:val="18"/>
          <w:lang w:val="en-GB"/>
        </w:rPr>
        <w:t xml:space="preserve"> </w:t>
      </w:r>
      <w:r>
        <w:rPr>
          <w:rFonts w:eastAsia="Calibri" w:cs="Arial"/>
          <w:sz w:val="18"/>
          <w:lang w:val="en-GB"/>
        </w:rPr>
        <w:t>P</w:t>
      </w:r>
      <w:r w:rsidRPr="009D4EF4">
        <w:rPr>
          <w:rFonts w:eastAsia="Calibri" w:cs="Arial"/>
          <w:sz w:val="18"/>
          <w:lang w:val="en-GB"/>
        </w:rPr>
        <w:t xml:space="preserve">erformance </w:t>
      </w:r>
      <w:r>
        <w:rPr>
          <w:rFonts w:eastAsia="Calibri" w:cs="Arial"/>
          <w:sz w:val="18"/>
          <w:lang w:val="en-GB"/>
        </w:rPr>
        <w:t>F</w:t>
      </w:r>
      <w:r w:rsidRPr="009D4EF4">
        <w:rPr>
          <w:rFonts w:eastAsia="Calibri" w:cs="Arial"/>
          <w:sz w:val="18"/>
          <w:lang w:val="en-GB"/>
        </w:rPr>
        <w:t xml:space="preserve">ee payable </w:t>
      </w:r>
      <w:r>
        <w:rPr>
          <w:rFonts w:eastAsia="Calibri" w:cs="Arial"/>
          <w:sz w:val="18"/>
          <w:lang w:val="en-GB"/>
        </w:rPr>
        <w:t>of</w:t>
      </w:r>
      <w:r w:rsidRPr="009D4EF4">
        <w:rPr>
          <w:rFonts w:eastAsia="Calibri" w:cs="Arial"/>
          <w:sz w:val="18"/>
          <w:lang w:val="en-GB"/>
        </w:rPr>
        <w:t xml:space="preserve"> 0.45% of the Net Asset Value of the relevant Share Class. </w:t>
      </w:r>
    </w:p>
    <w:p w14:paraId="4DDEC707" w14:textId="7419BF1D" w:rsidR="002D7293" w:rsidRPr="009D4EF4" w:rsidRDefault="002D7293" w:rsidP="002D7293">
      <w:pPr>
        <w:spacing w:after="160" w:line="259" w:lineRule="auto"/>
        <w:rPr>
          <w:rFonts w:eastAsia="Calibri" w:cs="Arial"/>
          <w:b/>
          <w:bCs/>
          <w:i/>
          <w:iCs/>
          <w:sz w:val="18"/>
          <w:lang w:val="en-GB"/>
        </w:rPr>
      </w:pPr>
      <w:r w:rsidRPr="009D4EF4">
        <w:rPr>
          <w:rFonts w:eastAsia="Calibri" w:cs="Arial"/>
          <w:b/>
          <w:bCs/>
          <w:i/>
          <w:iCs/>
          <w:sz w:val="18"/>
          <w:lang w:val="en-GB"/>
        </w:rPr>
        <w:t xml:space="preserve">You should note that, as shown in the Year 4 scenario above, a </w:t>
      </w:r>
      <w:r>
        <w:rPr>
          <w:rFonts w:eastAsia="Calibri" w:cs="Arial"/>
          <w:b/>
          <w:bCs/>
          <w:i/>
          <w:iCs/>
          <w:sz w:val="18"/>
          <w:lang w:val="en-GB"/>
        </w:rPr>
        <w:t>Performance Fee</w:t>
      </w:r>
      <w:r w:rsidRPr="009D4EF4">
        <w:rPr>
          <w:rFonts w:eastAsia="Calibri" w:cs="Arial"/>
          <w:b/>
          <w:bCs/>
          <w:i/>
          <w:iCs/>
          <w:sz w:val="18"/>
          <w:lang w:val="en-GB"/>
        </w:rPr>
        <w:t xml:space="preserve"> is still payable where the value of your investment has gone down, provided that the </w:t>
      </w:r>
      <w:r>
        <w:rPr>
          <w:rFonts w:eastAsia="Calibri" w:cs="Arial"/>
          <w:b/>
          <w:bCs/>
          <w:i/>
          <w:iCs/>
          <w:sz w:val="18"/>
          <w:lang w:val="en-GB"/>
        </w:rPr>
        <w:t xml:space="preserve">Pacific All Cap Opportunities Fund has outperformed </w:t>
      </w:r>
      <w:r w:rsidRPr="009D4EF4">
        <w:rPr>
          <w:rFonts w:eastAsia="Calibri" w:cs="Arial"/>
          <w:b/>
          <w:bCs/>
          <w:i/>
          <w:iCs/>
          <w:sz w:val="18"/>
          <w:lang w:val="en-GB"/>
        </w:rPr>
        <w:t xml:space="preserve">the Benchmark. </w:t>
      </w:r>
    </w:p>
    <w:p w14:paraId="76862431" w14:textId="77777777" w:rsidR="002D7293" w:rsidRDefault="002D7293" w:rsidP="002D7293">
      <w:pPr>
        <w:tabs>
          <w:tab w:val="left" w:pos="7938"/>
        </w:tabs>
        <w:spacing w:after="160" w:line="259" w:lineRule="auto"/>
        <w:rPr>
          <w:rFonts w:eastAsia="Calibri" w:cs="Arial"/>
          <w:sz w:val="18"/>
          <w:lang w:val="en-GB"/>
        </w:rPr>
      </w:pPr>
    </w:p>
    <w:p w14:paraId="1327650A" w14:textId="77777777" w:rsidR="002D7293" w:rsidRPr="009D4EF4" w:rsidRDefault="002D7293" w:rsidP="002D7293">
      <w:pPr>
        <w:tabs>
          <w:tab w:val="left" w:pos="7938"/>
        </w:tabs>
        <w:spacing w:after="160" w:line="259" w:lineRule="auto"/>
        <w:rPr>
          <w:rFonts w:eastAsia="Calibri" w:cs="Arial"/>
          <w:sz w:val="18"/>
          <w:lang w:val="en-GB"/>
        </w:rPr>
      </w:pPr>
    </w:p>
    <w:tbl>
      <w:tblPr>
        <w:tblW w:w="9781" w:type="dxa"/>
        <w:tblInd w:w="-567" w:type="dxa"/>
        <w:tblLook w:val="04A0" w:firstRow="1" w:lastRow="0" w:firstColumn="1" w:lastColumn="0" w:noHBand="0" w:noVBand="1"/>
      </w:tblPr>
      <w:tblGrid>
        <w:gridCol w:w="3686"/>
        <w:gridCol w:w="1275"/>
        <w:gridCol w:w="267"/>
        <w:gridCol w:w="1841"/>
        <w:gridCol w:w="2712"/>
      </w:tblGrid>
      <w:tr w:rsidR="002D7293" w:rsidRPr="00352C6B" w14:paraId="3CF9D08B" w14:textId="77777777" w:rsidTr="006349D7">
        <w:trPr>
          <w:trHeight w:val="255"/>
        </w:trPr>
        <w:tc>
          <w:tcPr>
            <w:tcW w:w="7069" w:type="dxa"/>
            <w:gridSpan w:val="4"/>
            <w:tcBorders>
              <w:top w:val="nil"/>
              <w:left w:val="nil"/>
              <w:bottom w:val="nil"/>
              <w:right w:val="nil"/>
            </w:tcBorders>
            <w:shd w:val="clear" w:color="000000" w:fill="FFFFFF"/>
            <w:noWrap/>
            <w:vAlign w:val="bottom"/>
            <w:hideMark/>
          </w:tcPr>
          <w:p w14:paraId="695BE036" w14:textId="56523D1A" w:rsidR="002D7293" w:rsidRPr="00352C6B" w:rsidRDefault="002D7293" w:rsidP="006349D7">
            <w:pPr>
              <w:jc w:val="left"/>
              <w:rPr>
                <w:rFonts w:cs="Arial"/>
                <w:b/>
                <w:bCs/>
                <w:color w:val="000000"/>
                <w:sz w:val="18"/>
                <w:szCs w:val="18"/>
                <w:lang w:val="en-GB" w:eastAsia="en-GB"/>
              </w:rPr>
            </w:pPr>
            <w:bookmarkStart w:id="46" w:name="RANGE!A1:E79"/>
            <w:r w:rsidRPr="00352C6B">
              <w:rPr>
                <w:rFonts w:cs="Arial"/>
                <w:b/>
                <w:bCs/>
                <w:color w:val="000000"/>
                <w:sz w:val="18"/>
                <w:szCs w:val="18"/>
                <w:lang w:val="en-GB" w:eastAsia="en-GB"/>
              </w:rPr>
              <w:lastRenderedPageBreak/>
              <w:t xml:space="preserve">Figure 1:  Performance fee illustrations - Pacific </w:t>
            </w:r>
            <w:r>
              <w:rPr>
                <w:rFonts w:cs="Arial"/>
                <w:b/>
                <w:bCs/>
                <w:color w:val="000000"/>
                <w:sz w:val="18"/>
                <w:szCs w:val="18"/>
                <w:lang w:val="en-GB" w:eastAsia="en-GB"/>
              </w:rPr>
              <w:t xml:space="preserve">All Cap </w:t>
            </w:r>
            <w:r w:rsidRPr="00352C6B">
              <w:rPr>
                <w:rFonts w:cs="Arial"/>
                <w:b/>
                <w:bCs/>
                <w:color w:val="000000"/>
                <w:sz w:val="18"/>
                <w:szCs w:val="18"/>
                <w:lang w:val="en-GB" w:eastAsia="en-GB"/>
              </w:rPr>
              <w:t>Opportunities Fund</w:t>
            </w:r>
            <w:bookmarkEnd w:id="46"/>
          </w:p>
        </w:tc>
        <w:tc>
          <w:tcPr>
            <w:tcW w:w="2712" w:type="dxa"/>
            <w:tcBorders>
              <w:top w:val="nil"/>
              <w:left w:val="nil"/>
              <w:bottom w:val="nil"/>
              <w:right w:val="nil"/>
            </w:tcBorders>
            <w:shd w:val="clear" w:color="000000" w:fill="FFFFFF"/>
            <w:noWrap/>
            <w:vAlign w:val="bottom"/>
            <w:hideMark/>
          </w:tcPr>
          <w:p w14:paraId="04B55E9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4B7007A" w14:textId="77777777" w:rsidTr="006349D7">
        <w:trPr>
          <w:trHeight w:val="270"/>
        </w:trPr>
        <w:tc>
          <w:tcPr>
            <w:tcW w:w="3686" w:type="dxa"/>
            <w:tcBorders>
              <w:top w:val="nil"/>
              <w:left w:val="nil"/>
              <w:bottom w:val="nil"/>
              <w:right w:val="nil"/>
            </w:tcBorders>
            <w:shd w:val="clear" w:color="000000" w:fill="FFFFFF"/>
            <w:noWrap/>
            <w:vAlign w:val="bottom"/>
            <w:hideMark/>
          </w:tcPr>
          <w:p w14:paraId="56C2459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5F50E5E"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55351BC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178071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4B5277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42EC3376" w14:textId="77777777" w:rsidTr="006349D7">
        <w:trPr>
          <w:trHeight w:val="255"/>
        </w:trPr>
        <w:tc>
          <w:tcPr>
            <w:tcW w:w="3686" w:type="dxa"/>
            <w:tcBorders>
              <w:top w:val="single" w:sz="8" w:space="0" w:color="auto"/>
              <w:left w:val="nil"/>
              <w:bottom w:val="nil"/>
              <w:right w:val="nil"/>
            </w:tcBorders>
            <w:shd w:val="clear" w:color="000000" w:fill="FFFFFF"/>
            <w:noWrap/>
            <w:vAlign w:val="bottom"/>
            <w:hideMark/>
          </w:tcPr>
          <w:p w14:paraId="0B9A2DC7" w14:textId="77777777" w:rsidR="002D7293" w:rsidRPr="00352C6B" w:rsidRDefault="002D7293" w:rsidP="006349D7">
            <w:pPr>
              <w:jc w:val="left"/>
              <w:rPr>
                <w:rFonts w:cs="Arial"/>
                <w:b/>
                <w:bCs/>
                <w:color w:val="000000"/>
                <w:sz w:val="18"/>
                <w:szCs w:val="18"/>
                <w:lang w:val="en-GB" w:eastAsia="en-GB"/>
              </w:rPr>
            </w:pPr>
            <w:r w:rsidRPr="00352C6B">
              <w:rPr>
                <w:rFonts w:cs="Arial"/>
                <w:b/>
                <w:bCs/>
                <w:color w:val="000000"/>
                <w:sz w:val="18"/>
                <w:szCs w:val="18"/>
                <w:lang w:val="en-GB" w:eastAsia="en-GB"/>
              </w:rPr>
              <w:t>Year 1</w:t>
            </w:r>
          </w:p>
        </w:tc>
        <w:tc>
          <w:tcPr>
            <w:tcW w:w="1275" w:type="dxa"/>
            <w:tcBorders>
              <w:top w:val="single" w:sz="8" w:space="0" w:color="auto"/>
              <w:left w:val="nil"/>
              <w:bottom w:val="nil"/>
              <w:right w:val="nil"/>
            </w:tcBorders>
            <w:shd w:val="clear" w:color="000000" w:fill="FFFFFF"/>
            <w:noWrap/>
            <w:vAlign w:val="bottom"/>
            <w:hideMark/>
          </w:tcPr>
          <w:p w14:paraId="34DADC86"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4B4AC11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0DDF7DD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51EB175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3D63F48C" w14:textId="77777777" w:rsidTr="006349D7">
        <w:trPr>
          <w:trHeight w:val="255"/>
        </w:trPr>
        <w:tc>
          <w:tcPr>
            <w:tcW w:w="3686" w:type="dxa"/>
            <w:tcBorders>
              <w:top w:val="nil"/>
              <w:left w:val="nil"/>
              <w:bottom w:val="nil"/>
              <w:right w:val="nil"/>
            </w:tcBorders>
            <w:shd w:val="clear" w:color="000000" w:fill="FFFFFF"/>
            <w:noWrap/>
            <w:vAlign w:val="bottom"/>
            <w:hideMark/>
          </w:tcPr>
          <w:p w14:paraId="7A7F063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61D54D9"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Annual</w:t>
            </w:r>
          </w:p>
        </w:tc>
        <w:tc>
          <w:tcPr>
            <w:tcW w:w="267" w:type="dxa"/>
            <w:tcBorders>
              <w:top w:val="nil"/>
              <w:left w:val="nil"/>
              <w:bottom w:val="nil"/>
              <w:right w:val="nil"/>
            </w:tcBorders>
            <w:shd w:val="clear" w:color="000000" w:fill="FFFFFF"/>
            <w:noWrap/>
            <w:vAlign w:val="bottom"/>
            <w:hideMark/>
          </w:tcPr>
          <w:p w14:paraId="5E4CFAF2"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4A44085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F00665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52ED27D" w14:textId="77777777" w:rsidTr="006349D7">
        <w:trPr>
          <w:trHeight w:val="255"/>
        </w:trPr>
        <w:tc>
          <w:tcPr>
            <w:tcW w:w="3686" w:type="dxa"/>
            <w:tcBorders>
              <w:top w:val="nil"/>
              <w:left w:val="nil"/>
              <w:bottom w:val="single" w:sz="4" w:space="0" w:color="auto"/>
              <w:right w:val="nil"/>
            </w:tcBorders>
            <w:shd w:val="clear" w:color="000000" w:fill="FFFFFF"/>
            <w:noWrap/>
            <w:vAlign w:val="bottom"/>
            <w:hideMark/>
          </w:tcPr>
          <w:p w14:paraId="3EA974E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single" w:sz="4" w:space="0" w:color="auto"/>
              <w:right w:val="nil"/>
            </w:tcBorders>
            <w:shd w:val="clear" w:color="000000" w:fill="FFFFFF"/>
            <w:noWrap/>
            <w:vAlign w:val="bottom"/>
            <w:hideMark/>
          </w:tcPr>
          <w:p w14:paraId="05F5A34C"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Return</w:t>
            </w:r>
          </w:p>
        </w:tc>
        <w:tc>
          <w:tcPr>
            <w:tcW w:w="267" w:type="dxa"/>
            <w:tcBorders>
              <w:top w:val="nil"/>
              <w:left w:val="nil"/>
              <w:bottom w:val="nil"/>
              <w:right w:val="nil"/>
            </w:tcBorders>
            <w:shd w:val="clear" w:color="000000" w:fill="FFFFFF"/>
            <w:noWrap/>
            <w:vAlign w:val="bottom"/>
            <w:hideMark/>
          </w:tcPr>
          <w:p w14:paraId="3B865FFE"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D1D74C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5E14F60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48B56B0A" w14:textId="77777777" w:rsidTr="006349D7">
        <w:trPr>
          <w:trHeight w:val="255"/>
        </w:trPr>
        <w:tc>
          <w:tcPr>
            <w:tcW w:w="3686" w:type="dxa"/>
            <w:tcBorders>
              <w:top w:val="nil"/>
              <w:left w:val="nil"/>
              <w:bottom w:val="nil"/>
              <w:right w:val="nil"/>
            </w:tcBorders>
            <w:shd w:val="clear" w:color="000000" w:fill="FFFFFF"/>
            <w:noWrap/>
            <w:vAlign w:val="bottom"/>
            <w:hideMark/>
          </w:tcPr>
          <w:p w14:paraId="504DF9D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Share Class Return (i)</w:t>
            </w:r>
          </w:p>
        </w:tc>
        <w:tc>
          <w:tcPr>
            <w:tcW w:w="1275" w:type="dxa"/>
            <w:tcBorders>
              <w:top w:val="nil"/>
              <w:left w:val="nil"/>
              <w:bottom w:val="nil"/>
              <w:right w:val="nil"/>
            </w:tcBorders>
            <w:shd w:val="clear" w:color="000000" w:fill="FFFFFF"/>
            <w:noWrap/>
            <w:vAlign w:val="bottom"/>
            <w:hideMark/>
          </w:tcPr>
          <w:p w14:paraId="5A76DE0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20.00%</w:t>
            </w:r>
          </w:p>
        </w:tc>
        <w:tc>
          <w:tcPr>
            <w:tcW w:w="267" w:type="dxa"/>
            <w:tcBorders>
              <w:top w:val="nil"/>
              <w:left w:val="nil"/>
              <w:bottom w:val="nil"/>
              <w:right w:val="nil"/>
            </w:tcBorders>
            <w:shd w:val="clear" w:color="000000" w:fill="FFFFFF"/>
            <w:noWrap/>
            <w:vAlign w:val="bottom"/>
            <w:hideMark/>
          </w:tcPr>
          <w:p w14:paraId="1D2FED5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2AFCFD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DC4F9F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77AD1552" w14:textId="77777777" w:rsidTr="006349D7">
        <w:trPr>
          <w:trHeight w:val="255"/>
        </w:trPr>
        <w:tc>
          <w:tcPr>
            <w:tcW w:w="3686" w:type="dxa"/>
            <w:tcBorders>
              <w:top w:val="nil"/>
              <w:left w:val="nil"/>
              <w:bottom w:val="nil"/>
              <w:right w:val="nil"/>
            </w:tcBorders>
            <w:shd w:val="clear" w:color="000000" w:fill="FFFFFF"/>
            <w:noWrap/>
            <w:vAlign w:val="bottom"/>
            <w:hideMark/>
          </w:tcPr>
          <w:p w14:paraId="72D84C5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Benchmark Return (ii)</w:t>
            </w:r>
          </w:p>
        </w:tc>
        <w:tc>
          <w:tcPr>
            <w:tcW w:w="1275" w:type="dxa"/>
            <w:tcBorders>
              <w:top w:val="nil"/>
              <w:left w:val="nil"/>
              <w:bottom w:val="nil"/>
              <w:right w:val="nil"/>
            </w:tcBorders>
            <w:shd w:val="clear" w:color="000000" w:fill="FFFFFF"/>
            <w:noWrap/>
            <w:vAlign w:val="bottom"/>
            <w:hideMark/>
          </w:tcPr>
          <w:p w14:paraId="6EF5095B"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10.00%</w:t>
            </w:r>
          </w:p>
        </w:tc>
        <w:tc>
          <w:tcPr>
            <w:tcW w:w="267" w:type="dxa"/>
            <w:tcBorders>
              <w:top w:val="nil"/>
              <w:left w:val="nil"/>
              <w:bottom w:val="nil"/>
              <w:right w:val="nil"/>
            </w:tcBorders>
            <w:shd w:val="clear" w:color="000000" w:fill="FFFFFF"/>
            <w:noWrap/>
            <w:vAlign w:val="bottom"/>
            <w:hideMark/>
          </w:tcPr>
          <w:p w14:paraId="4974D5F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241C3A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4FFB530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791A872F" w14:textId="77777777" w:rsidTr="006349D7">
        <w:trPr>
          <w:trHeight w:val="255"/>
        </w:trPr>
        <w:tc>
          <w:tcPr>
            <w:tcW w:w="3686" w:type="dxa"/>
            <w:tcBorders>
              <w:top w:val="nil"/>
              <w:left w:val="nil"/>
              <w:bottom w:val="nil"/>
              <w:right w:val="nil"/>
            </w:tcBorders>
            <w:shd w:val="clear" w:color="000000" w:fill="FFFFFF"/>
            <w:noWrap/>
            <w:vAlign w:val="bottom"/>
            <w:hideMark/>
          </w:tcPr>
          <w:p w14:paraId="4617EC9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1EDB413B"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5C62440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40D7D6D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35904D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CBB5E77" w14:textId="77777777" w:rsidTr="006349D7">
        <w:trPr>
          <w:trHeight w:val="255"/>
        </w:trPr>
        <w:tc>
          <w:tcPr>
            <w:tcW w:w="3686" w:type="dxa"/>
            <w:tcBorders>
              <w:top w:val="nil"/>
              <w:left w:val="nil"/>
              <w:bottom w:val="nil"/>
              <w:right w:val="nil"/>
            </w:tcBorders>
            <w:shd w:val="clear" w:color="000000" w:fill="FFFFFF"/>
            <w:noWrap/>
            <w:vAlign w:val="bottom"/>
            <w:hideMark/>
          </w:tcPr>
          <w:p w14:paraId="09C11E4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Outperformance / (Underperformance) versus Benchmark</w:t>
            </w:r>
          </w:p>
        </w:tc>
        <w:tc>
          <w:tcPr>
            <w:tcW w:w="1275" w:type="dxa"/>
            <w:tcBorders>
              <w:top w:val="nil"/>
              <w:left w:val="nil"/>
              <w:bottom w:val="nil"/>
              <w:right w:val="nil"/>
            </w:tcBorders>
            <w:shd w:val="clear" w:color="000000" w:fill="FFFFFF"/>
            <w:noWrap/>
            <w:vAlign w:val="bottom"/>
            <w:hideMark/>
          </w:tcPr>
          <w:p w14:paraId="50B405C7"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10.00%</w:t>
            </w:r>
          </w:p>
        </w:tc>
        <w:tc>
          <w:tcPr>
            <w:tcW w:w="267" w:type="dxa"/>
            <w:tcBorders>
              <w:top w:val="nil"/>
              <w:left w:val="nil"/>
              <w:bottom w:val="nil"/>
              <w:right w:val="nil"/>
            </w:tcBorders>
            <w:shd w:val="clear" w:color="000000" w:fill="FFFFFF"/>
            <w:noWrap/>
            <w:vAlign w:val="bottom"/>
            <w:hideMark/>
          </w:tcPr>
          <w:p w14:paraId="254E77A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4E517C7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720B48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12064F93" w14:textId="77777777" w:rsidTr="006349D7">
        <w:trPr>
          <w:trHeight w:val="255"/>
        </w:trPr>
        <w:tc>
          <w:tcPr>
            <w:tcW w:w="3686" w:type="dxa"/>
            <w:tcBorders>
              <w:top w:val="nil"/>
              <w:left w:val="nil"/>
              <w:bottom w:val="nil"/>
              <w:right w:val="nil"/>
            </w:tcBorders>
            <w:shd w:val="clear" w:color="000000" w:fill="FFFFFF"/>
            <w:noWrap/>
            <w:vAlign w:val="bottom"/>
            <w:hideMark/>
          </w:tcPr>
          <w:p w14:paraId="2B23BB8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14DDB15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17E8154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D859FC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4A509F9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468943C3" w14:textId="77777777" w:rsidTr="006349D7">
        <w:trPr>
          <w:trHeight w:val="255"/>
        </w:trPr>
        <w:tc>
          <w:tcPr>
            <w:tcW w:w="3686" w:type="dxa"/>
            <w:tcBorders>
              <w:top w:val="nil"/>
              <w:left w:val="nil"/>
              <w:bottom w:val="nil"/>
              <w:right w:val="nil"/>
            </w:tcBorders>
            <w:shd w:val="clear" w:color="000000" w:fill="FFFFFF"/>
            <w:noWrap/>
            <w:vAlign w:val="bottom"/>
            <w:hideMark/>
          </w:tcPr>
          <w:p w14:paraId="17278256" w14:textId="120C17CB"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Outperformance during </w:t>
            </w:r>
            <w:r>
              <w:rPr>
                <w:rFonts w:cs="Arial"/>
                <w:color w:val="000000"/>
                <w:sz w:val="18"/>
                <w:szCs w:val="18"/>
                <w:lang w:val="en-GB" w:eastAsia="en-GB"/>
              </w:rPr>
              <w:t xml:space="preserve">Calculation </w:t>
            </w:r>
            <w:r w:rsidR="00116F5C">
              <w:rPr>
                <w:rFonts w:cs="Arial"/>
                <w:color w:val="000000"/>
                <w:sz w:val="18"/>
                <w:szCs w:val="18"/>
                <w:lang w:val="en-GB" w:eastAsia="en-GB"/>
              </w:rPr>
              <w:t>Period</w:t>
            </w:r>
            <w:r w:rsidR="00116F5C" w:rsidRPr="00352C6B">
              <w:rPr>
                <w:rFonts w:cs="Arial"/>
                <w:color w:val="000000"/>
                <w:sz w:val="18"/>
                <w:szCs w:val="18"/>
                <w:lang w:val="en-GB" w:eastAsia="en-GB"/>
              </w:rPr>
              <w:t>?</w:t>
            </w:r>
          </w:p>
        </w:tc>
        <w:tc>
          <w:tcPr>
            <w:tcW w:w="1275" w:type="dxa"/>
            <w:tcBorders>
              <w:top w:val="nil"/>
              <w:left w:val="nil"/>
              <w:bottom w:val="nil"/>
              <w:right w:val="nil"/>
            </w:tcBorders>
            <w:shd w:val="clear" w:color="000000" w:fill="FFFFFF"/>
            <w:noWrap/>
            <w:vAlign w:val="bottom"/>
            <w:hideMark/>
          </w:tcPr>
          <w:p w14:paraId="61BFDF1A"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Yes</w:t>
            </w:r>
          </w:p>
        </w:tc>
        <w:tc>
          <w:tcPr>
            <w:tcW w:w="267" w:type="dxa"/>
            <w:tcBorders>
              <w:top w:val="nil"/>
              <w:left w:val="nil"/>
              <w:bottom w:val="nil"/>
              <w:right w:val="nil"/>
            </w:tcBorders>
            <w:shd w:val="clear" w:color="000000" w:fill="FFFFFF"/>
            <w:noWrap/>
            <w:vAlign w:val="bottom"/>
            <w:hideMark/>
          </w:tcPr>
          <w:p w14:paraId="18DEDBB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89EB05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AE0362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3314F7C" w14:textId="77777777" w:rsidTr="006349D7">
        <w:trPr>
          <w:trHeight w:val="255"/>
        </w:trPr>
        <w:tc>
          <w:tcPr>
            <w:tcW w:w="3686" w:type="dxa"/>
            <w:tcBorders>
              <w:top w:val="nil"/>
              <w:left w:val="nil"/>
              <w:bottom w:val="nil"/>
              <w:right w:val="nil"/>
            </w:tcBorders>
            <w:shd w:val="clear" w:color="000000" w:fill="FFFFFF"/>
            <w:noWrap/>
            <w:vAlign w:val="bottom"/>
            <w:hideMark/>
          </w:tcPr>
          <w:p w14:paraId="1AF97D6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04C07DE"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2FD6C5B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D6CA15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B75D9C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BACBE26" w14:textId="77777777" w:rsidTr="006349D7">
        <w:trPr>
          <w:trHeight w:val="255"/>
        </w:trPr>
        <w:tc>
          <w:tcPr>
            <w:tcW w:w="3686" w:type="dxa"/>
            <w:tcBorders>
              <w:top w:val="nil"/>
              <w:left w:val="nil"/>
              <w:bottom w:val="nil"/>
              <w:right w:val="nil"/>
            </w:tcBorders>
            <w:shd w:val="clear" w:color="000000" w:fill="FFFFFF"/>
            <w:noWrap/>
            <w:vAlign w:val="bottom"/>
            <w:hideMark/>
          </w:tcPr>
          <w:p w14:paraId="75C322D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Performance Fee rate</w:t>
            </w:r>
          </w:p>
        </w:tc>
        <w:tc>
          <w:tcPr>
            <w:tcW w:w="1275" w:type="dxa"/>
            <w:tcBorders>
              <w:top w:val="nil"/>
              <w:left w:val="nil"/>
              <w:bottom w:val="nil"/>
              <w:right w:val="nil"/>
            </w:tcBorders>
            <w:shd w:val="clear" w:color="000000" w:fill="FFFFFF"/>
            <w:noWrap/>
            <w:vAlign w:val="bottom"/>
            <w:hideMark/>
          </w:tcPr>
          <w:p w14:paraId="5A1D3174"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15.00%</w:t>
            </w:r>
          </w:p>
        </w:tc>
        <w:tc>
          <w:tcPr>
            <w:tcW w:w="267" w:type="dxa"/>
            <w:tcBorders>
              <w:top w:val="nil"/>
              <w:left w:val="nil"/>
              <w:bottom w:val="nil"/>
              <w:right w:val="nil"/>
            </w:tcBorders>
            <w:shd w:val="clear" w:color="000000" w:fill="FFFFFF"/>
            <w:noWrap/>
            <w:vAlign w:val="bottom"/>
            <w:hideMark/>
          </w:tcPr>
          <w:p w14:paraId="2CFF1FC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2722F8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196A7B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61DDB00" w14:textId="77777777" w:rsidTr="006349D7">
        <w:trPr>
          <w:trHeight w:val="255"/>
        </w:trPr>
        <w:tc>
          <w:tcPr>
            <w:tcW w:w="3686" w:type="dxa"/>
            <w:tcBorders>
              <w:top w:val="nil"/>
              <w:left w:val="nil"/>
              <w:bottom w:val="nil"/>
              <w:right w:val="nil"/>
            </w:tcBorders>
            <w:shd w:val="clear" w:color="000000" w:fill="FFFFFF"/>
            <w:noWrap/>
            <w:vAlign w:val="bottom"/>
            <w:hideMark/>
          </w:tcPr>
          <w:p w14:paraId="7D0760C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1F19187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20CB43E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0F8A5C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4DFC60E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831F9E9" w14:textId="77777777" w:rsidTr="006349D7">
        <w:trPr>
          <w:trHeight w:val="255"/>
        </w:trPr>
        <w:tc>
          <w:tcPr>
            <w:tcW w:w="3686" w:type="dxa"/>
            <w:tcBorders>
              <w:top w:val="nil"/>
              <w:left w:val="nil"/>
              <w:bottom w:val="nil"/>
              <w:right w:val="nil"/>
            </w:tcBorders>
            <w:shd w:val="clear" w:color="000000" w:fill="FFFFFF"/>
            <w:noWrap/>
            <w:vAlign w:val="bottom"/>
            <w:hideMark/>
          </w:tcPr>
          <w:p w14:paraId="2267767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Performance Fee payable</w:t>
            </w:r>
          </w:p>
        </w:tc>
        <w:tc>
          <w:tcPr>
            <w:tcW w:w="1275" w:type="dxa"/>
            <w:tcBorders>
              <w:top w:val="nil"/>
              <w:left w:val="nil"/>
              <w:bottom w:val="nil"/>
              <w:right w:val="nil"/>
            </w:tcBorders>
            <w:shd w:val="clear" w:color="000000" w:fill="FFFFFF"/>
            <w:noWrap/>
            <w:vAlign w:val="bottom"/>
            <w:hideMark/>
          </w:tcPr>
          <w:p w14:paraId="7638FA3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1.50%</w:t>
            </w:r>
          </w:p>
        </w:tc>
        <w:tc>
          <w:tcPr>
            <w:tcW w:w="267" w:type="dxa"/>
            <w:tcBorders>
              <w:top w:val="nil"/>
              <w:left w:val="nil"/>
              <w:bottom w:val="nil"/>
              <w:right w:val="nil"/>
            </w:tcBorders>
            <w:shd w:val="clear" w:color="000000" w:fill="FFFFFF"/>
            <w:noWrap/>
            <w:vAlign w:val="bottom"/>
            <w:hideMark/>
          </w:tcPr>
          <w:p w14:paraId="02E4E0C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19044C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6AB644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75EA2462" w14:textId="77777777" w:rsidTr="006349D7">
        <w:trPr>
          <w:trHeight w:val="255"/>
        </w:trPr>
        <w:tc>
          <w:tcPr>
            <w:tcW w:w="3686" w:type="dxa"/>
            <w:tcBorders>
              <w:top w:val="nil"/>
              <w:left w:val="nil"/>
              <w:bottom w:val="nil"/>
              <w:right w:val="nil"/>
            </w:tcBorders>
            <w:shd w:val="clear" w:color="000000" w:fill="FFFFFF"/>
            <w:noWrap/>
            <w:vAlign w:val="bottom"/>
            <w:hideMark/>
          </w:tcPr>
          <w:p w14:paraId="604D59D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127CE3DA"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5C3DEC0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4E93929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E6C905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F0EA6B3" w14:textId="77777777" w:rsidTr="006349D7">
        <w:trPr>
          <w:trHeight w:val="255"/>
        </w:trPr>
        <w:tc>
          <w:tcPr>
            <w:tcW w:w="3686" w:type="dxa"/>
            <w:tcBorders>
              <w:top w:val="nil"/>
              <w:left w:val="nil"/>
              <w:bottom w:val="nil"/>
              <w:right w:val="nil"/>
            </w:tcBorders>
            <w:shd w:val="clear" w:color="000000" w:fill="FFFFFF"/>
            <w:noWrap/>
            <w:vAlign w:val="bottom"/>
            <w:hideMark/>
          </w:tcPr>
          <w:p w14:paraId="3282A815" w14:textId="255C25A5"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Will a new </w:t>
            </w:r>
            <w:r>
              <w:rPr>
                <w:rFonts w:cs="Arial"/>
                <w:color w:val="000000"/>
                <w:sz w:val="18"/>
                <w:szCs w:val="18"/>
                <w:lang w:val="en-GB" w:eastAsia="en-GB"/>
              </w:rPr>
              <w:t>Calculation Period</w:t>
            </w:r>
            <w:r w:rsidRPr="00352C6B">
              <w:rPr>
                <w:rFonts w:cs="Arial"/>
                <w:color w:val="000000"/>
                <w:sz w:val="18"/>
                <w:szCs w:val="18"/>
                <w:lang w:val="en-GB" w:eastAsia="en-GB"/>
              </w:rPr>
              <w:t xml:space="preserve"> begin next </w:t>
            </w:r>
            <w:r w:rsidR="00116F5C" w:rsidRPr="00352C6B">
              <w:rPr>
                <w:rFonts w:cs="Arial"/>
                <w:color w:val="000000"/>
                <w:sz w:val="18"/>
                <w:szCs w:val="18"/>
                <w:lang w:val="en-GB" w:eastAsia="en-GB"/>
              </w:rPr>
              <w:t>year?</w:t>
            </w:r>
          </w:p>
        </w:tc>
        <w:tc>
          <w:tcPr>
            <w:tcW w:w="1275" w:type="dxa"/>
            <w:tcBorders>
              <w:top w:val="nil"/>
              <w:left w:val="nil"/>
              <w:bottom w:val="nil"/>
              <w:right w:val="nil"/>
            </w:tcBorders>
            <w:shd w:val="clear" w:color="000000" w:fill="FFFFFF"/>
            <w:noWrap/>
            <w:vAlign w:val="bottom"/>
            <w:hideMark/>
          </w:tcPr>
          <w:p w14:paraId="5976F76F"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Yes</w:t>
            </w:r>
          </w:p>
        </w:tc>
        <w:tc>
          <w:tcPr>
            <w:tcW w:w="267" w:type="dxa"/>
            <w:tcBorders>
              <w:top w:val="nil"/>
              <w:left w:val="nil"/>
              <w:bottom w:val="nil"/>
              <w:right w:val="nil"/>
            </w:tcBorders>
            <w:shd w:val="clear" w:color="000000" w:fill="FFFFFF"/>
            <w:noWrap/>
            <w:vAlign w:val="bottom"/>
            <w:hideMark/>
          </w:tcPr>
          <w:p w14:paraId="43FF33F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0787D7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1973158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7CDFDBBD" w14:textId="77777777" w:rsidTr="006349D7">
        <w:trPr>
          <w:trHeight w:val="255"/>
        </w:trPr>
        <w:tc>
          <w:tcPr>
            <w:tcW w:w="3686" w:type="dxa"/>
            <w:tcBorders>
              <w:top w:val="nil"/>
              <w:left w:val="nil"/>
              <w:bottom w:val="single" w:sz="4" w:space="0" w:color="auto"/>
              <w:right w:val="nil"/>
            </w:tcBorders>
            <w:shd w:val="clear" w:color="000000" w:fill="FFFFFF"/>
            <w:noWrap/>
            <w:vAlign w:val="bottom"/>
            <w:hideMark/>
          </w:tcPr>
          <w:p w14:paraId="201E111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single" w:sz="4" w:space="0" w:color="auto"/>
              <w:right w:val="nil"/>
            </w:tcBorders>
            <w:shd w:val="clear" w:color="000000" w:fill="FFFFFF"/>
            <w:noWrap/>
            <w:vAlign w:val="bottom"/>
            <w:hideMark/>
          </w:tcPr>
          <w:p w14:paraId="3C83A1E9"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20E744B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63439E2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4174C8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A6BF568" w14:textId="77777777" w:rsidTr="006349D7">
        <w:trPr>
          <w:trHeight w:val="255"/>
        </w:trPr>
        <w:tc>
          <w:tcPr>
            <w:tcW w:w="3686" w:type="dxa"/>
            <w:tcBorders>
              <w:top w:val="nil"/>
              <w:left w:val="nil"/>
              <w:bottom w:val="nil"/>
              <w:right w:val="nil"/>
            </w:tcBorders>
            <w:shd w:val="clear" w:color="000000" w:fill="FFFFFF"/>
            <w:noWrap/>
            <w:vAlign w:val="bottom"/>
            <w:hideMark/>
          </w:tcPr>
          <w:p w14:paraId="32FDD5C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4EFFE1E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498B33B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C4CB00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50ACD1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88A5D39" w14:textId="77777777" w:rsidTr="006349D7">
        <w:trPr>
          <w:trHeight w:val="255"/>
        </w:trPr>
        <w:tc>
          <w:tcPr>
            <w:tcW w:w="3686" w:type="dxa"/>
            <w:tcBorders>
              <w:top w:val="nil"/>
              <w:left w:val="nil"/>
              <w:bottom w:val="nil"/>
              <w:right w:val="nil"/>
            </w:tcBorders>
            <w:shd w:val="clear" w:color="000000" w:fill="FFFFFF"/>
            <w:noWrap/>
            <w:vAlign w:val="bottom"/>
            <w:hideMark/>
          </w:tcPr>
          <w:p w14:paraId="0AB253C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644A739"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42D01CC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44EE08A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ACE547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A53AF16" w14:textId="77777777" w:rsidTr="006349D7">
        <w:trPr>
          <w:trHeight w:val="270"/>
        </w:trPr>
        <w:tc>
          <w:tcPr>
            <w:tcW w:w="3686" w:type="dxa"/>
            <w:tcBorders>
              <w:top w:val="nil"/>
              <w:left w:val="nil"/>
              <w:bottom w:val="nil"/>
              <w:right w:val="nil"/>
            </w:tcBorders>
            <w:shd w:val="clear" w:color="000000" w:fill="FFFFFF"/>
            <w:noWrap/>
            <w:vAlign w:val="bottom"/>
            <w:hideMark/>
          </w:tcPr>
          <w:p w14:paraId="4F273C6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2F444BE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6A21922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4F0877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A8A650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C637168" w14:textId="77777777" w:rsidTr="006349D7">
        <w:trPr>
          <w:trHeight w:val="255"/>
        </w:trPr>
        <w:tc>
          <w:tcPr>
            <w:tcW w:w="3686" w:type="dxa"/>
            <w:tcBorders>
              <w:top w:val="single" w:sz="8" w:space="0" w:color="auto"/>
              <w:left w:val="nil"/>
              <w:bottom w:val="nil"/>
              <w:right w:val="nil"/>
            </w:tcBorders>
            <w:shd w:val="clear" w:color="000000" w:fill="FFFFFF"/>
            <w:noWrap/>
            <w:vAlign w:val="bottom"/>
            <w:hideMark/>
          </w:tcPr>
          <w:p w14:paraId="2770D980" w14:textId="77777777" w:rsidR="002D7293" w:rsidRPr="00352C6B" w:rsidRDefault="002D7293" w:rsidP="006349D7">
            <w:pPr>
              <w:jc w:val="left"/>
              <w:rPr>
                <w:rFonts w:cs="Arial"/>
                <w:b/>
                <w:bCs/>
                <w:color w:val="000000"/>
                <w:sz w:val="18"/>
                <w:szCs w:val="18"/>
                <w:lang w:val="en-GB" w:eastAsia="en-GB"/>
              </w:rPr>
            </w:pPr>
            <w:r w:rsidRPr="00352C6B">
              <w:rPr>
                <w:rFonts w:cs="Arial"/>
                <w:b/>
                <w:bCs/>
                <w:color w:val="000000"/>
                <w:sz w:val="18"/>
                <w:szCs w:val="18"/>
                <w:lang w:val="en-GB" w:eastAsia="en-GB"/>
              </w:rPr>
              <w:t>Year 2</w:t>
            </w:r>
          </w:p>
        </w:tc>
        <w:tc>
          <w:tcPr>
            <w:tcW w:w="1275" w:type="dxa"/>
            <w:tcBorders>
              <w:top w:val="single" w:sz="8" w:space="0" w:color="auto"/>
              <w:left w:val="nil"/>
              <w:bottom w:val="nil"/>
              <w:right w:val="nil"/>
            </w:tcBorders>
            <w:shd w:val="clear" w:color="000000" w:fill="FFFFFF"/>
            <w:noWrap/>
            <w:vAlign w:val="bottom"/>
            <w:hideMark/>
          </w:tcPr>
          <w:p w14:paraId="2F54DCAA"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65A2457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D4ED82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4C7B47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7CAADC3" w14:textId="77777777" w:rsidTr="006349D7">
        <w:trPr>
          <w:trHeight w:val="255"/>
        </w:trPr>
        <w:tc>
          <w:tcPr>
            <w:tcW w:w="3686" w:type="dxa"/>
            <w:tcBorders>
              <w:top w:val="nil"/>
              <w:left w:val="nil"/>
              <w:bottom w:val="nil"/>
              <w:right w:val="nil"/>
            </w:tcBorders>
            <w:shd w:val="clear" w:color="000000" w:fill="FFFFFF"/>
            <w:noWrap/>
            <w:vAlign w:val="bottom"/>
            <w:hideMark/>
          </w:tcPr>
          <w:p w14:paraId="7E02688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3D715418"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Annual</w:t>
            </w:r>
          </w:p>
        </w:tc>
        <w:tc>
          <w:tcPr>
            <w:tcW w:w="267" w:type="dxa"/>
            <w:tcBorders>
              <w:top w:val="nil"/>
              <w:left w:val="nil"/>
              <w:bottom w:val="nil"/>
              <w:right w:val="nil"/>
            </w:tcBorders>
            <w:shd w:val="clear" w:color="000000" w:fill="FFFFFF"/>
            <w:noWrap/>
            <w:vAlign w:val="bottom"/>
            <w:hideMark/>
          </w:tcPr>
          <w:p w14:paraId="3FB3EE2B"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4C4AC1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80B626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48B2EB69" w14:textId="77777777" w:rsidTr="006349D7">
        <w:trPr>
          <w:trHeight w:val="255"/>
        </w:trPr>
        <w:tc>
          <w:tcPr>
            <w:tcW w:w="3686" w:type="dxa"/>
            <w:tcBorders>
              <w:top w:val="nil"/>
              <w:left w:val="nil"/>
              <w:bottom w:val="single" w:sz="4" w:space="0" w:color="auto"/>
              <w:right w:val="nil"/>
            </w:tcBorders>
            <w:shd w:val="clear" w:color="000000" w:fill="FFFFFF"/>
            <w:noWrap/>
            <w:vAlign w:val="bottom"/>
            <w:hideMark/>
          </w:tcPr>
          <w:p w14:paraId="2578C8F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single" w:sz="4" w:space="0" w:color="auto"/>
              <w:right w:val="nil"/>
            </w:tcBorders>
            <w:shd w:val="clear" w:color="000000" w:fill="FFFFFF"/>
            <w:noWrap/>
            <w:vAlign w:val="bottom"/>
            <w:hideMark/>
          </w:tcPr>
          <w:p w14:paraId="25C35FC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Return</w:t>
            </w:r>
          </w:p>
        </w:tc>
        <w:tc>
          <w:tcPr>
            <w:tcW w:w="267" w:type="dxa"/>
            <w:tcBorders>
              <w:top w:val="nil"/>
              <w:left w:val="nil"/>
              <w:bottom w:val="nil"/>
              <w:right w:val="nil"/>
            </w:tcBorders>
            <w:shd w:val="clear" w:color="000000" w:fill="FFFFFF"/>
            <w:noWrap/>
            <w:vAlign w:val="bottom"/>
            <w:hideMark/>
          </w:tcPr>
          <w:p w14:paraId="533D8B1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B0EB81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EBA35E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B605E82" w14:textId="77777777" w:rsidTr="006349D7">
        <w:trPr>
          <w:trHeight w:val="255"/>
        </w:trPr>
        <w:tc>
          <w:tcPr>
            <w:tcW w:w="3686" w:type="dxa"/>
            <w:tcBorders>
              <w:top w:val="nil"/>
              <w:left w:val="nil"/>
              <w:bottom w:val="nil"/>
              <w:right w:val="nil"/>
            </w:tcBorders>
            <w:shd w:val="clear" w:color="000000" w:fill="FFFFFF"/>
            <w:noWrap/>
            <w:vAlign w:val="bottom"/>
            <w:hideMark/>
          </w:tcPr>
          <w:p w14:paraId="12FDE4C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Share Class Return (i)</w:t>
            </w:r>
          </w:p>
        </w:tc>
        <w:tc>
          <w:tcPr>
            <w:tcW w:w="1275" w:type="dxa"/>
            <w:tcBorders>
              <w:top w:val="nil"/>
              <w:left w:val="nil"/>
              <w:bottom w:val="nil"/>
              <w:right w:val="nil"/>
            </w:tcBorders>
            <w:shd w:val="clear" w:color="000000" w:fill="FFFFFF"/>
            <w:noWrap/>
            <w:vAlign w:val="bottom"/>
            <w:hideMark/>
          </w:tcPr>
          <w:p w14:paraId="313F5528"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5.00%</w:t>
            </w:r>
          </w:p>
        </w:tc>
        <w:tc>
          <w:tcPr>
            <w:tcW w:w="267" w:type="dxa"/>
            <w:tcBorders>
              <w:top w:val="nil"/>
              <w:left w:val="nil"/>
              <w:bottom w:val="nil"/>
              <w:right w:val="nil"/>
            </w:tcBorders>
            <w:shd w:val="clear" w:color="000000" w:fill="FFFFFF"/>
            <w:noWrap/>
            <w:vAlign w:val="bottom"/>
            <w:hideMark/>
          </w:tcPr>
          <w:p w14:paraId="65B29A5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0FD838B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504FCB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D20190F" w14:textId="77777777" w:rsidTr="006349D7">
        <w:trPr>
          <w:trHeight w:val="255"/>
        </w:trPr>
        <w:tc>
          <w:tcPr>
            <w:tcW w:w="3686" w:type="dxa"/>
            <w:tcBorders>
              <w:top w:val="nil"/>
              <w:left w:val="nil"/>
              <w:bottom w:val="nil"/>
              <w:right w:val="nil"/>
            </w:tcBorders>
            <w:shd w:val="clear" w:color="000000" w:fill="FFFFFF"/>
            <w:noWrap/>
            <w:vAlign w:val="bottom"/>
            <w:hideMark/>
          </w:tcPr>
          <w:p w14:paraId="1B1693A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Benchmark Return (ii)</w:t>
            </w:r>
          </w:p>
        </w:tc>
        <w:tc>
          <w:tcPr>
            <w:tcW w:w="1275" w:type="dxa"/>
            <w:tcBorders>
              <w:top w:val="nil"/>
              <w:left w:val="nil"/>
              <w:bottom w:val="nil"/>
              <w:right w:val="nil"/>
            </w:tcBorders>
            <w:shd w:val="clear" w:color="000000" w:fill="FFFFFF"/>
            <w:noWrap/>
            <w:vAlign w:val="bottom"/>
            <w:hideMark/>
          </w:tcPr>
          <w:p w14:paraId="4C2AE26E"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10.00%</w:t>
            </w:r>
          </w:p>
        </w:tc>
        <w:tc>
          <w:tcPr>
            <w:tcW w:w="267" w:type="dxa"/>
            <w:tcBorders>
              <w:top w:val="nil"/>
              <w:left w:val="nil"/>
              <w:bottom w:val="nil"/>
              <w:right w:val="nil"/>
            </w:tcBorders>
            <w:shd w:val="clear" w:color="000000" w:fill="FFFFFF"/>
            <w:noWrap/>
            <w:vAlign w:val="bottom"/>
            <w:hideMark/>
          </w:tcPr>
          <w:p w14:paraId="243D665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628CAD7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49E68F9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F2949A1" w14:textId="77777777" w:rsidTr="006349D7">
        <w:trPr>
          <w:trHeight w:val="255"/>
        </w:trPr>
        <w:tc>
          <w:tcPr>
            <w:tcW w:w="3686" w:type="dxa"/>
            <w:tcBorders>
              <w:top w:val="nil"/>
              <w:left w:val="nil"/>
              <w:bottom w:val="nil"/>
              <w:right w:val="nil"/>
            </w:tcBorders>
            <w:shd w:val="clear" w:color="000000" w:fill="FFFFFF"/>
            <w:noWrap/>
            <w:vAlign w:val="bottom"/>
            <w:hideMark/>
          </w:tcPr>
          <w:p w14:paraId="436E0F9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058139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7DF3EFC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2437FF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4291D1C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3991034" w14:textId="77777777" w:rsidTr="006349D7">
        <w:trPr>
          <w:trHeight w:val="255"/>
        </w:trPr>
        <w:tc>
          <w:tcPr>
            <w:tcW w:w="3686" w:type="dxa"/>
            <w:tcBorders>
              <w:top w:val="nil"/>
              <w:left w:val="nil"/>
              <w:bottom w:val="nil"/>
              <w:right w:val="nil"/>
            </w:tcBorders>
            <w:shd w:val="clear" w:color="000000" w:fill="FFFFFF"/>
            <w:noWrap/>
            <w:vAlign w:val="bottom"/>
            <w:hideMark/>
          </w:tcPr>
          <w:p w14:paraId="1DFAA83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Outperformance / (Underperformance) versus Benchmark</w:t>
            </w:r>
          </w:p>
        </w:tc>
        <w:tc>
          <w:tcPr>
            <w:tcW w:w="1275" w:type="dxa"/>
            <w:tcBorders>
              <w:top w:val="nil"/>
              <w:left w:val="nil"/>
              <w:bottom w:val="nil"/>
              <w:right w:val="nil"/>
            </w:tcBorders>
            <w:shd w:val="clear" w:color="000000" w:fill="FFFFFF"/>
            <w:noWrap/>
            <w:vAlign w:val="bottom"/>
            <w:hideMark/>
          </w:tcPr>
          <w:p w14:paraId="341504A7"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(5.00%)</w:t>
            </w:r>
          </w:p>
        </w:tc>
        <w:tc>
          <w:tcPr>
            <w:tcW w:w="267" w:type="dxa"/>
            <w:tcBorders>
              <w:top w:val="nil"/>
              <w:left w:val="nil"/>
              <w:bottom w:val="nil"/>
              <w:right w:val="nil"/>
            </w:tcBorders>
            <w:shd w:val="clear" w:color="000000" w:fill="FFFFFF"/>
            <w:noWrap/>
            <w:vAlign w:val="bottom"/>
            <w:hideMark/>
          </w:tcPr>
          <w:p w14:paraId="2560420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8D0D0D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DE8B5F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79593E5F" w14:textId="77777777" w:rsidTr="006349D7">
        <w:trPr>
          <w:trHeight w:val="255"/>
        </w:trPr>
        <w:tc>
          <w:tcPr>
            <w:tcW w:w="3686" w:type="dxa"/>
            <w:tcBorders>
              <w:top w:val="nil"/>
              <w:left w:val="nil"/>
              <w:bottom w:val="nil"/>
              <w:right w:val="nil"/>
            </w:tcBorders>
            <w:shd w:val="clear" w:color="000000" w:fill="FFFFFF"/>
            <w:noWrap/>
            <w:vAlign w:val="bottom"/>
            <w:hideMark/>
          </w:tcPr>
          <w:p w14:paraId="020F8E8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29DACF1E"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4A488D1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C59780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6F5DB79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799126ED" w14:textId="77777777" w:rsidTr="006349D7">
        <w:trPr>
          <w:trHeight w:val="255"/>
        </w:trPr>
        <w:tc>
          <w:tcPr>
            <w:tcW w:w="3686" w:type="dxa"/>
            <w:tcBorders>
              <w:top w:val="nil"/>
              <w:left w:val="nil"/>
              <w:bottom w:val="nil"/>
              <w:right w:val="nil"/>
            </w:tcBorders>
            <w:shd w:val="clear" w:color="000000" w:fill="FFFFFF"/>
            <w:noWrap/>
            <w:vAlign w:val="bottom"/>
            <w:hideMark/>
          </w:tcPr>
          <w:p w14:paraId="6FBAC1F6" w14:textId="51FD715B"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Outperformance during </w:t>
            </w:r>
            <w:r>
              <w:rPr>
                <w:rFonts w:cs="Arial"/>
                <w:color w:val="000000"/>
                <w:sz w:val="18"/>
                <w:szCs w:val="18"/>
                <w:lang w:val="en-GB" w:eastAsia="en-GB"/>
              </w:rPr>
              <w:t xml:space="preserve">Calculation </w:t>
            </w:r>
            <w:r w:rsidR="00116F5C">
              <w:rPr>
                <w:rFonts w:cs="Arial"/>
                <w:color w:val="000000"/>
                <w:sz w:val="18"/>
                <w:szCs w:val="18"/>
                <w:lang w:val="en-GB" w:eastAsia="en-GB"/>
              </w:rPr>
              <w:t>Period</w:t>
            </w:r>
            <w:r w:rsidR="00116F5C" w:rsidRPr="00352C6B">
              <w:rPr>
                <w:rFonts w:cs="Arial"/>
                <w:color w:val="000000"/>
                <w:sz w:val="18"/>
                <w:szCs w:val="18"/>
                <w:lang w:val="en-GB" w:eastAsia="en-GB"/>
              </w:rPr>
              <w:t>?</w:t>
            </w:r>
          </w:p>
        </w:tc>
        <w:tc>
          <w:tcPr>
            <w:tcW w:w="1275" w:type="dxa"/>
            <w:tcBorders>
              <w:top w:val="nil"/>
              <w:left w:val="nil"/>
              <w:bottom w:val="nil"/>
              <w:right w:val="nil"/>
            </w:tcBorders>
            <w:shd w:val="clear" w:color="000000" w:fill="FFFFFF"/>
            <w:noWrap/>
            <w:vAlign w:val="bottom"/>
            <w:hideMark/>
          </w:tcPr>
          <w:p w14:paraId="6AAFF985"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No</w:t>
            </w:r>
          </w:p>
        </w:tc>
        <w:tc>
          <w:tcPr>
            <w:tcW w:w="267" w:type="dxa"/>
            <w:tcBorders>
              <w:top w:val="nil"/>
              <w:left w:val="nil"/>
              <w:bottom w:val="nil"/>
              <w:right w:val="nil"/>
            </w:tcBorders>
            <w:shd w:val="clear" w:color="000000" w:fill="FFFFFF"/>
            <w:noWrap/>
            <w:vAlign w:val="bottom"/>
            <w:hideMark/>
          </w:tcPr>
          <w:p w14:paraId="7C044698"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4B1528E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5CF378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40A4C59" w14:textId="77777777" w:rsidTr="006349D7">
        <w:trPr>
          <w:trHeight w:val="255"/>
        </w:trPr>
        <w:tc>
          <w:tcPr>
            <w:tcW w:w="3686" w:type="dxa"/>
            <w:tcBorders>
              <w:top w:val="nil"/>
              <w:left w:val="nil"/>
              <w:bottom w:val="nil"/>
              <w:right w:val="nil"/>
            </w:tcBorders>
            <w:shd w:val="clear" w:color="000000" w:fill="FFFFFF"/>
            <w:noWrap/>
            <w:vAlign w:val="bottom"/>
            <w:hideMark/>
          </w:tcPr>
          <w:p w14:paraId="508F54D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25B6E15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73EEF47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1260FE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1C3C656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162F233" w14:textId="77777777" w:rsidTr="006349D7">
        <w:trPr>
          <w:trHeight w:val="255"/>
        </w:trPr>
        <w:tc>
          <w:tcPr>
            <w:tcW w:w="3686" w:type="dxa"/>
            <w:tcBorders>
              <w:top w:val="nil"/>
              <w:left w:val="nil"/>
              <w:bottom w:val="nil"/>
              <w:right w:val="nil"/>
            </w:tcBorders>
            <w:shd w:val="clear" w:color="000000" w:fill="FFFFFF"/>
            <w:noWrap/>
            <w:vAlign w:val="bottom"/>
            <w:hideMark/>
          </w:tcPr>
          <w:p w14:paraId="2A1FD3D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Performance Fee rate</w:t>
            </w:r>
          </w:p>
        </w:tc>
        <w:tc>
          <w:tcPr>
            <w:tcW w:w="1275" w:type="dxa"/>
            <w:tcBorders>
              <w:top w:val="nil"/>
              <w:left w:val="nil"/>
              <w:bottom w:val="nil"/>
              <w:right w:val="nil"/>
            </w:tcBorders>
            <w:shd w:val="clear" w:color="000000" w:fill="FFFFFF"/>
            <w:noWrap/>
            <w:vAlign w:val="bottom"/>
            <w:hideMark/>
          </w:tcPr>
          <w:p w14:paraId="220DB878"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15.00%</w:t>
            </w:r>
          </w:p>
        </w:tc>
        <w:tc>
          <w:tcPr>
            <w:tcW w:w="267" w:type="dxa"/>
            <w:tcBorders>
              <w:top w:val="nil"/>
              <w:left w:val="nil"/>
              <w:bottom w:val="nil"/>
              <w:right w:val="nil"/>
            </w:tcBorders>
            <w:shd w:val="clear" w:color="000000" w:fill="FFFFFF"/>
            <w:noWrap/>
            <w:vAlign w:val="bottom"/>
            <w:hideMark/>
          </w:tcPr>
          <w:p w14:paraId="036A884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8FA8D2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F05824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CF3AF18" w14:textId="77777777" w:rsidTr="006349D7">
        <w:trPr>
          <w:trHeight w:val="255"/>
        </w:trPr>
        <w:tc>
          <w:tcPr>
            <w:tcW w:w="3686" w:type="dxa"/>
            <w:tcBorders>
              <w:top w:val="nil"/>
              <w:left w:val="nil"/>
              <w:bottom w:val="nil"/>
              <w:right w:val="nil"/>
            </w:tcBorders>
            <w:shd w:val="clear" w:color="000000" w:fill="FFFFFF"/>
            <w:noWrap/>
            <w:vAlign w:val="bottom"/>
            <w:hideMark/>
          </w:tcPr>
          <w:p w14:paraId="4BF2484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28CC672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449EE6F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F0E6AD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7268CC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F48F2A0" w14:textId="77777777" w:rsidTr="006349D7">
        <w:trPr>
          <w:trHeight w:val="255"/>
        </w:trPr>
        <w:tc>
          <w:tcPr>
            <w:tcW w:w="3686" w:type="dxa"/>
            <w:tcBorders>
              <w:top w:val="nil"/>
              <w:left w:val="nil"/>
              <w:bottom w:val="nil"/>
              <w:right w:val="nil"/>
            </w:tcBorders>
            <w:shd w:val="clear" w:color="000000" w:fill="FFFFFF"/>
            <w:noWrap/>
            <w:vAlign w:val="bottom"/>
            <w:hideMark/>
          </w:tcPr>
          <w:p w14:paraId="5B910EC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Performance Fee payable</w:t>
            </w:r>
          </w:p>
        </w:tc>
        <w:tc>
          <w:tcPr>
            <w:tcW w:w="1275" w:type="dxa"/>
            <w:tcBorders>
              <w:top w:val="nil"/>
              <w:left w:val="nil"/>
              <w:bottom w:val="nil"/>
              <w:right w:val="nil"/>
            </w:tcBorders>
            <w:shd w:val="clear" w:color="000000" w:fill="FFFFFF"/>
            <w:noWrap/>
            <w:vAlign w:val="bottom"/>
            <w:hideMark/>
          </w:tcPr>
          <w:p w14:paraId="66F0A0D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None</w:t>
            </w:r>
          </w:p>
        </w:tc>
        <w:tc>
          <w:tcPr>
            <w:tcW w:w="267" w:type="dxa"/>
            <w:tcBorders>
              <w:top w:val="nil"/>
              <w:left w:val="nil"/>
              <w:bottom w:val="nil"/>
              <w:right w:val="nil"/>
            </w:tcBorders>
            <w:shd w:val="clear" w:color="000000" w:fill="FFFFFF"/>
            <w:noWrap/>
            <w:vAlign w:val="bottom"/>
            <w:hideMark/>
          </w:tcPr>
          <w:p w14:paraId="38581D7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76E6C1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52367C3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36172242" w14:textId="77777777" w:rsidTr="006349D7">
        <w:trPr>
          <w:trHeight w:val="255"/>
        </w:trPr>
        <w:tc>
          <w:tcPr>
            <w:tcW w:w="3686" w:type="dxa"/>
            <w:tcBorders>
              <w:top w:val="nil"/>
              <w:left w:val="nil"/>
              <w:bottom w:val="nil"/>
              <w:right w:val="nil"/>
            </w:tcBorders>
            <w:shd w:val="clear" w:color="000000" w:fill="FFFFFF"/>
            <w:noWrap/>
            <w:vAlign w:val="bottom"/>
            <w:hideMark/>
          </w:tcPr>
          <w:p w14:paraId="7C909C0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52BE58FC"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6B68AE6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9F7DD7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4F7161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227D4CF" w14:textId="77777777" w:rsidTr="006349D7">
        <w:trPr>
          <w:trHeight w:val="255"/>
        </w:trPr>
        <w:tc>
          <w:tcPr>
            <w:tcW w:w="3686" w:type="dxa"/>
            <w:tcBorders>
              <w:top w:val="nil"/>
              <w:left w:val="nil"/>
              <w:bottom w:val="nil"/>
              <w:right w:val="nil"/>
            </w:tcBorders>
            <w:shd w:val="clear" w:color="000000" w:fill="FFFFFF"/>
            <w:noWrap/>
            <w:vAlign w:val="bottom"/>
            <w:hideMark/>
          </w:tcPr>
          <w:p w14:paraId="308A16C5" w14:textId="30476FB5"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Will a new </w:t>
            </w:r>
            <w:r>
              <w:rPr>
                <w:rFonts w:cs="Arial"/>
                <w:color w:val="000000"/>
                <w:sz w:val="18"/>
                <w:szCs w:val="18"/>
                <w:lang w:val="en-GB" w:eastAsia="en-GB"/>
              </w:rPr>
              <w:t>Calculation Period</w:t>
            </w:r>
            <w:r w:rsidRPr="00352C6B">
              <w:rPr>
                <w:rFonts w:cs="Arial"/>
                <w:color w:val="000000"/>
                <w:sz w:val="18"/>
                <w:szCs w:val="18"/>
                <w:lang w:val="en-GB" w:eastAsia="en-GB"/>
              </w:rPr>
              <w:t xml:space="preserve"> begin next </w:t>
            </w:r>
            <w:r w:rsidR="00116F5C" w:rsidRPr="00352C6B">
              <w:rPr>
                <w:rFonts w:cs="Arial"/>
                <w:color w:val="000000"/>
                <w:sz w:val="18"/>
                <w:szCs w:val="18"/>
                <w:lang w:val="en-GB" w:eastAsia="en-GB"/>
              </w:rPr>
              <w:t>year?</w:t>
            </w:r>
          </w:p>
        </w:tc>
        <w:tc>
          <w:tcPr>
            <w:tcW w:w="1275" w:type="dxa"/>
            <w:tcBorders>
              <w:top w:val="nil"/>
              <w:left w:val="nil"/>
              <w:bottom w:val="nil"/>
              <w:right w:val="nil"/>
            </w:tcBorders>
            <w:shd w:val="clear" w:color="000000" w:fill="FFFFFF"/>
            <w:noWrap/>
            <w:vAlign w:val="bottom"/>
            <w:hideMark/>
          </w:tcPr>
          <w:p w14:paraId="3C984069"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No</w:t>
            </w:r>
          </w:p>
        </w:tc>
        <w:tc>
          <w:tcPr>
            <w:tcW w:w="267" w:type="dxa"/>
            <w:tcBorders>
              <w:top w:val="nil"/>
              <w:left w:val="nil"/>
              <w:bottom w:val="nil"/>
              <w:right w:val="nil"/>
            </w:tcBorders>
            <w:shd w:val="clear" w:color="000000" w:fill="FFFFFF"/>
            <w:noWrap/>
            <w:vAlign w:val="bottom"/>
            <w:hideMark/>
          </w:tcPr>
          <w:p w14:paraId="37EBC28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6A9197D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6E7B102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76FF35D" w14:textId="77777777" w:rsidTr="006349D7">
        <w:trPr>
          <w:trHeight w:val="255"/>
        </w:trPr>
        <w:tc>
          <w:tcPr>
            <w:tcW w:w="3686" w:type="dxa"/>
            <w:tcBorders>
              <w:top w:val="nil"/>
              <w:left w:val="nil"/>
              <w:bottom w:val="single" w:sz="4" w:space="0" w:color="auto"/>
              <w:right w:val="nil"/>
            </w:tcBorders>
            <w:shd w:val="clear" w:color="000000" w:fill="FFFFFF"/>
            <w:noWrap/>
            <w:vAlign w:val="bottom"/>
            <w:hideMark/>
          </w:tcPr>
          <w:p w14:paraId="4D1BA97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single" w:sz="4" w:space="0" w:color="auto"/>
              <w:right w:val="nil"/>
            </w:tcBorders>
            <w:shd w:val="clear" w:color="000000" w:fill="FFFFFF"/>
            <w:noWrap/>
            <w:vAlign w:val="bottom"/>
            <w:hideMark/>
          </w:tcPr>
          <w:p w14:paraId="39422BA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3A909CB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8D8575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E9C90E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16846FF" w14:textId="77777777" w:rsidTr="006349D7">
        <w:trPr>
          <w:trHeight w:val="255"/>
        </w:trPr>
        <w:tc>
          <w:tcPr>
            <w:tcW w:w="3686" w:type="dxa"/>
            <w:tcBorders>
              <w:top w:val="nil"/>
              <w:left w:val="nil"/>
              <w:bottom w:val="nil"/>
              <w:right w:val="nil"/>
            </w:tcBorders>
            <w:shd w:val="clear" w:color="000000" w:fill="FFFFFF"/>
            <w:noWrap/>
            <w:vAlign w:val="bottom"/>
            <w:hideMark/>
          </w:tcPr>
          <w:p w14:paraId="7CD823F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0AE83A6F"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0A16724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A2B630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D834E8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AD8DA66" w14:textId="77777777" w:rsidTr="006349D7">
        <w:trPr>
          <w:trHeight w:val="255"/>
        </w:trPr>
        <w:tc>
          <w:tcPr>
            <w:tcW w:w="3686" w:type="dxa"/>
            <w:tcBorders>
              <w:top w:val="nil"/>
              <w:left w:val="nil"/>
              <w:bottom w:val="nil"/>
              <w:right w:val="nil"/>
            </w:tcBorders>
            <w:shd w:val="clear" w:color="000000" w:fill="FFFFFF"/>
            <w:noWrap/>
            <w:vAlign w:val="bottom"/>
            <w:hideMark/>
          </w:tcPr>
          <w:p w14:paraId="18784FB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5A9730B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7533DC6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619AC1A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9039E3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763CB840" w14:textId="77777777" w:rsidTr="006349D7">
        <w:trPr>
          <w:trHeight w:val="270"/>
        </w:trPr>
        <w:tc>
          <w:tcPr>
            <w:tcW w:w="3686" w:type="dxa"/>
            <w:tcBorders>
              <w:top w:val="nil"/>
              <w:left w:val="nil"/>
              <w:bottom w:val="nil"/>
              <w:right w:val="nil"/>
            </w:tcBorders>
            <w:shd w:val="clear" w:color="000000" w:fill="FFFFFF"/>
            <w:noWrap/>
            <w:vAlign w:val="bottom"/>
            <w:hideMark/>
          </w:tcPr>
          <w:p w14:paraId="1C3F6D0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48463D4C"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49AA565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6BF174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BEBF5A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DBEE89E" w14:textId="77777777" w:rsidTr="006349D7">
        <w:trPr>
          <w:trHeight w:val="255"/>
        </w:trPr>
        <w:tc>
          <w:tcPr>
            <w:tcW w:w="3686" w:type="dxa"/>
            <w:tcBorders>
              <w:top w:val="single" w:sz="8" w:space="0" w:color="auto"/>
              <w:left w:val="nil"/>
              <w:bottom w:val="nil"/>
              <w:right w:val="nil"/>
            </w:tcBorders>
            <w:shd w:val="clear" w:color="000000" w:fill="FFFFFF"/>
            <w:noWrap/>
            <w:vAlign w:val="bottom"/>
            <w:hideMark/>
          </w:tcPr>
          <w:p w14:paraId="12755741" w14:textId="77777777" w:rsidR="002D7293" w:rsidRPr="00352C6B" w:rsidRDefault="002D7293" w:rsidP="006349D7">
            <w:pPr>
              <w:jc w:val="left"/>
              <w:rPr>
                <w:rFonts w:cs="Arial"/>
                <w:b/>
                <w:bCs/>
                <w:color w:val="000000"/>
                <w:sz w:val="18"/>
                <w:szCs w:val="18"/>
                <w:lang w:val="en-GB" w:eastAsia="en-GB"/>
              </w:rPr>
            </w:pPr>
            <w:r w:rsidRPr="00352C6B">
              <w:rPr>
                <w:rFonts w:cs="Arial"/>
                <w:b/>
                <w:bCs/>
                <w:color w:val="000000"/>
                <w:sz w:val="18"/>
                <w:szCs w:val="18"/>
                <w:lang w:val="en-GB" w:eastAsia="en-GB"/>
              </w:rPr>
              <w:t>Year 3</w:t>
            </w:r>
          </w:p>
        </w:tc>
        <w:tc>
          <w:tcPr>
            <w:tcW w:w="1275" w:type="dxa"/>
            <w:tcBorders>
              <w:top w:val="single" w:sz="8" w:space="0" w:color="auto"/>
              <w:left w:val="nil"/>
              <w:bottom w:val="nil"/>
              <w:right w:val="nil"/>
            </w:tcBorders>
            <w:shd w:val="clear" w:color="000000" w:fill="FFFFFF"/>
            <w:noWrap/>
            <w:vAlign w:val="bottom"/>
            <w:hideMark/>
          </w:tcPr>
          <w:p w14:paraId="3AA11096"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single" w:sz="8" w:space="0" w:color="auto"/>
              <w:left w:val="nil"/>
              <w:bottom w:val="nil"/>
              <w:right w:val="nil"/>
            </w:tcBorders>
            <w:shd w:val="clear" w:color="000000" w:fill="FFFFFF"/>
            <w:noWrap/>
            <w:vAlign w:val="bottom"/>
            <w:hideMark/>
          </w:tcPr>
          <w:p w14:paraId="5006184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single" w:sz="8" w:space="0" w:color="auto"/>
              <w:left w:val="nil"/>
              <w:bottom w:val="nil"/>
              <w:right w:val="nil"/>
            </w:tcBorders>
            <w:shd w:val="clear" w:color="000000" w:fill="FFFFFF"/>
            <w:noWrap/>
            <w:vAlign w:val="bottom"/>
            <w:hideMark/>
          </w:tcPr>
          <w:p w14:paraId="14DDD760" w14:textId="77777777" w:rsidR="002D7293" w:rsidRPr="00352C6B" w:rsidRDefault="002D7293" w:rsidP="006349D7">
            <w:pPr>
              <w:jc w:val="left"/>
              <w:rPr>
                <w:rFonts w:cs="Arial"/>
                <w:b/>
                <w:bCs/>
                <w:color w:val="000000"/>
                <w:sz w:val="18"/>
                <w:szCs w:val="18"/>
                <w:lang w:val="en-GB" w:eastAsia="en-GB"/>
              </w:rPr>
            </w:pPr>
            <w:r w:rsidRPr="00352C6B">
              <w:rPr>
                <w:rFonts w:cs="Arial"/>
                <w:b/>
                <w:bCs/>
                <w:color w:val="000000"/>
                <w:sz w:val="18"/>
                <w:szCs w:val="18"/>
                <w:lang w:val="en-GB" w:eastAsia="en-GB"/>
              </w:rPr>
              <w:t>Year 2 and Year 3 Compounded Results</w:t>
            </w:r>
          </w:p>
        </w:tc>
        <w:tc>
          <w:tcPr>
            <w:tcW w:w="2712" w:type="dxa"/>
            <w:tcBorders>
              <w:top w:val="single" w:sz="8" w:space="0" w:color="auto"/>
              <w:left w:val="nil"/>
              <w:bottom w:val="nil"/>
              <w:right w:val="nil"/>
            </w:tcBorders>
            <w:shd w:val="clear" w:color="000000" w:fill="FFFFFF"/>
            <w:noWrap/>
            <w:vAlign w:val="bottom"/>
            <w:hideMark/>
          </w:tcPr>
          <w:p w14:paraId="1D9C3C3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192841D8" w14:textId="77777777" w:rsidTr="006349D7">
        <w:trPr>
          <w:trHeight w:val="255"/>
        </w:trPr>
        <w:tc>
          <w:tcPr>
            <w:tcW w:w="3686" w:type="dxa"/>
            <w:tcBorders>
              <w:top w:val="nil"/>
              <w:left w:val="nil"/>
              <w:bottom w:val="nil"/>
              <w:right w:val="nil"/>
            </w:tcBorders>
            <w:shd w:val="clear" w:color="000000" w:fill="FFFFFF"/>
            <w:noWrap/>
            <w:vAlign w:val="bottom"/>
            <w:hideMark/>
          </w:tcPr>
          <w:p w14:paraId="6FEEB8A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342FEFC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2E0DCBC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624E82A1" w14:textId="77777777" w:rsidR="002D7293" w:rsidRPr="00352C6B" w:rsidRDefault="002D7293" w:rsidP="006349D7">
            <w:pPr>
              <w:jc w:val="left"/>
              <w:rPr>
                <w:rFonts w:cs="Arial"/>
                <w:b/>
                <w:bCs/>
                <w:color w:val="000000"/>
                <w:sz w:val="18"/>
                <w:szCs w:val="18"/>
                <w:lang w:val="en-GB" w:eastAsia="en-GB"/>
              </w:rPr>
            </w:pPr>
            <w:r w:rsidRPr="00352C6B">
              <w:rPr>
                <w:rFonts w:cs="Arial"/>
                <w:b/>
                <w:bCs/>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8F63A52"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Compounded</w:t>
            </w:r>
          </w:p>
        </w:tc>
      </w:tr>
      <w:tr w:rsidR="002D7293" w:rsidRPr="00352C6B" w14:paraId="63FAF3F5" w14:textId="77777777" w:rsidTr="006349D7">
        <w:trPr>
          <w:trHeight w:val="255"/>
        </w:trPr>
        <w:tc>
          <w:tcPr>
            <w:tcW w:w="3686" w:type="dxa"/>
            <w:tcBorders>
              <w:top w:val="nil"/>
              <w:left w:val="nil"/>
              <w:bottom w:val="nil"/>
              <w:right w:val="nil"/>
            </w:tcBorders>
            <w:shd w:val="clear" w:color="000000" w:fill="FFFFFF"/>
            <w:noWrap/>
            <w:vAlign w:val="bottom"/>
            <w:hideMark/>
          </w:tcPr>
          <w:p w14:paraId="3872BE3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24F8B135"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Annual</w:t>
            </w:r>
          </w:p>
        </w:tc>
        <w:tc>
          <w:tcPr>
            <w:tcW w:w="267" w:type="dxa"/>
            <w:tcBorders>
              <w:top w:val="nil"/>
              <w:left w:val="nil"/>
              <w:bottom w:val="nil"/>
              <w:right w:val="nil"/>
            </w:tcBorders>
            <w:shd w:val="clear" w:color="000000" w:fill="FFFFFF"/>
            <w:noWrap/>
            <w:vAlign w:val="bottom"/>
            <w:hideMark/>
          </w:tcPr>
          <w:p w14:paraId="73B2F49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35D9FB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9C41F8C"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Annual</w:t>
            </w:r>
          </w:p>
        </w:tc>
      </w:tr>
      <w:tr w:rsidR="002D7293" w:rsidRPr="00352C6B" w14:paraId="7F3528F0" w14:textId="77777777" w:rsidTr="006349D7">
        <w:trPr>
          <w:trHeight w:val="255"/>
        </w:trPr>
        <w:tc>
          <w:tcPr>
            <w:tcW w:w="3686" w:type="dxa"/>
            <w:tcBorders>
              <w:top w:val="nil"/>
              <w:left w:val="nil"/>
              <w:bottom w:val="single" w:sz="4" w:space="0" w:color="auto"/>
              <w:right w:val="nil"/>
            </w:tcBorders>
            <w:shd w:val="clear" w:color="000000" w:fill="FFFFFF"/>
            <w:noWrap/>
            <w:vAlign w:val="bottom"/>
            <w:hideMark/>
          </w:tcPr>
          <w:p w14:paraId="2D6DDD6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single" w:sz="4" w:space="0" w:color="auto"/>
              <w:right w:val="nil"/>
            </w:tcBorders>
            <w:shd w:val="clear" w:color="000000" w:fill="FFFFFF"/>
            <w:noWrap/>
            <w:vAlign w:val="bottom"/>
            <w:hideMark/>
          </w:tcPr>
          <w:p w14:paraId="6AD3019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Return</w:t>
            </w:r>
          </w:p>
        </w:tc>
        <w:tc>
          <w:tcPr>
            <w:tcW w:w="267" w:type="dxa"/>
            <w:tcBorders>
              <w:top w:val="nil"/>
              <w:left w:val="nil"/>
              <w:bottom w:val="nil"/>
              <w:right w:val="nil"/>
            </w:tcBorders>
            <w:shd w:val="clear" w:color="000000" w:fill="FFFFFF"/>
            <w:noWrap/>
            <w:vAlign w:val="bottom"/>
            <w:hideMark/>
          </w:tcPr>
          <w:p w14:paraId="3BF0196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single" w:sz="4" w:space="0" w:color="auto"/>
              <w:right w:val="nil"/>
            </w:tcBorders>
            <w:shd w:val="clear" w:color="000000" w:fill="FFFFFF"/>
            <w:noWrap/>
            <w:vAlign w:val="bottom"/>
            <w:hideMark/>
          </w:tcPr>
          <w:p w14:paraId="050A61E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single" w:sz="4" w:space="0" w:color="auto"/>
              <w:right w:val="nil"/>
            </w:tcBorders>
            <w:shd w:val="clear" w:color="000000" w:fill="FFFFFF"/>
            <w:noWrap/>
            <w:vAlign w:val="bottom"/>
            <w:hideMark/>
          </w:tcPr>
          <w:p w14:paraId="7A5A8F37"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Return</w:t>
            </w:r>
          </w:p>
        </w:tc>
      </w:tr>
      <w:tr w:rsidR="002D7293" w:rsidRPr="00352C6B" w14:paraId="3D828F1F" w14:textId="77777777" w:rsidTr="006349D7">
        <w:trPr>
          <w:trHeight w:val="255"/>
        </w:trPr>
        <w:tc>
          <w:tcPr>
            <w:tcW w:w="3686" w:type="dxa"/>
            <w:tcBorders>
              <w:top w:val="nil"/>
              <w:left w:val="nil"/>
              <w:bottom w:val="nil"/>
              <w:right w:val="nil"/>
            </w:tcBorders>
            <w:shd w:val="clear" w:color="000000" w:fill="FFFFFF"/>
            <w:noWrap/>
            <w:vAlign w:val="bottom"/>
            <w:hideMark/>
          </w:tcPr>
          <w:p w14:paraId="3570780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Share Class Return (i)</w:t>
            </w:r>
          </w:p>
        </w:tc>
        <w:tc>
          <w:tcPr>
            <w:tcW w:w="1275" w:type="dxa"/>
            <w:tcBorders>
              <w:top w:val="nil"/>
              <w:left w:val="nil"/>
              <w:bottom w:val="nil"/>
              <w:right w:val="nil"/>
            </w:tcBorders>
            <w:shd w:val="clear" w:color="000000" w:fill="FFFFFF"/>
            <w:noWrap/>
            <w:vAlign w:val="bottom"/>
            <w:hideMark/>
          </w:tcPr>
          <w:p w14:paraId="36BA3DC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0.00%</w:t>
            </w:r>
          </w:p>
        </w:tc>
        <w:tc>
          <w:tcPr>
            <w:tcW w:w="267" w:type="dxa"/>
            <w:tcBorders>
              <w:top w:val="nil"/>
              <w:left w:val="nil"/>
              <w:bottom w:val="nil"/>
              <w:right w:val="nil"/>
            </w:tcBorders>
            <w:shd w:val="clear" w:color="000000" w:fill="FFFFFF"/>
            <w:noWrap/>
            <w:vAlign w:val="bottom"/>
            <w:hideMark/>
          </w:tcPr>
          <w:p w14:paraId="21DFBCF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F618E93" w14:textId="5B91A3F2"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Share Class Compounded Return over </w:t>
            </w:r>
            <w:r w:rsidR="00116F5C" w:rsidRPr="00352C6B">
              <w:rPr>
                <w:rFonts w:cs="Arial"/>
                <w:color w:val="000000"/>
                <w:sz w:val="18"/>
                <w:szCs w:val="18"/>
                <w:lang w:val="en-GB" w:eastAsia="en-GB"/>
              </w:rPr>
              <w:t>2-year</w:t>
            </w:r>
            <w:r w:rsidRPr="00352C6B">
              <w:rPr>
                <w:rFonts w:cs="Arial"/>
                <w:color w:val="000000"/>
                <w:sz w:val="18"/>
                <w:szCs w:val="18"/>
                <w:lang w:val="en-GB" w:eastAsia="en-GB"/>
              </w:rPr>
              <w:t xml:space="preserve"> period (i)</w:t>
            </w:r>
          </w:p>
        </w:tc>
        <w:tc>
          <w:tcPr>
            <w:tcW w:w="2712" w:type="dxa"/>
            <w:tcBorders>
              <w:top w:val="nil"/>
              <w:left w:val="nil"/>
              <w:bottom w:val="nil"/>
              <w:right w:val="nil"/>
            </w:tcBorders>
            <w:shd w:val="clear" w:color="000000" w:fill="FFFFFF"/>
            <w:noWrap/>
            <w:vAlign w:val="bottom"/>
            <w:hideMark/>
          </w:tcPr>
          <w:p w14:paraId="7CA7696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5.00%</w:t>
            </w:r>
          </w:p>
        </w:tc>
      </w:tr>
      <w:tr w:rsidR="002D7293" w:rsidRPr="00352C6B" w14:paraId="588B639F" w14:textId="77777777" w:rsidTr="006349D7">
        <w:trPr>
          <w:trHeight w:val="255"/>
        </w:trPr>
        <w:tc>
          <w:tcPr>
            <w:tcW w:w="3686" w:type="dxa"/>
            <w:tcBorders>
              <w:top w:val="nil"/>
              <w:left w:val="nil"/>
              <w:bottom w:val="nil"/>
              <w:right w:val="nil"/>
            </w:tcBorders>
            <w:shd w:val="clear" w:color="000000" w:fill="FFFFFF"/>
            <w:noWrap/>
            <w:vAlign w:val="bottom"/>
            <w:hideMark/>
          </w:tcPr>
          <w:p w14:paraId="54B96CD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Benchmark Return (ii)</w:t>
            </w:r>
          </w:p>
        </w:tc>
        <w:tc>
          <w:tcPr>
            <w:tcW w:w="1275" w:type="dxa"/>
            <w:tcBorders>
              <w:top w:val="nil"/>
              <w:left w:val="nil"/>
              <w:bottom w:val="nil"/>
              <w:right w:val="nil"/>
            </w:tcBorders>
            <w:shd w:val="clear" w:color="000000" w:fill="FFFFFF"/>
            <w:noWrap/>
            <w:vAlign w:val="bottom"/>
            <w:hideMark/>
          </w:tcPr>
          <w:p w14:paraId="6891EA2B"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(20.00%)</w:t>
            </w:r>
          </w:p>
        </w:tc>
        <w:tc>
          <w:tcPr>
            <w:tcW w:w="267" w:type="dxa"/>
            <w:tcBorders>
              <w:top w:val="nil"/>
              <w:left w:val="nil"/>
              <w:bottom w:val="nil"/>
              <w:right w:val="nil"/>
            </w:tcBorders>
            <w:shd w:val="clear" w:color="000000" w:fill="FFFFFF"/>
            <w:noWrap/>
            <w:vAlign w:val="bottom"/>
            <w:hideMark/>
          </w:tcPr>
          <w:p w14:paraId="40D160F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B80D7EA" w14:textId="5235314A"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Benchmark Compouned Return </w:t>
            </w:r>
            <w:r w:rsidRPr="00352C6B">
              <w:rPr>
                <w:rFonts w:cs="Arial"/>
                <w:color w:val="000000"/>
                <w:sz w:val="18"/>
                <w:szCs w:val="18"/>
                <w:lang w:val="en-GB" w:eastAsia="en-GB"/>
              </w:rPr>
              <w:lastRenderedPageBreak/>
              <w:t xml:space="preserve">over </w:t>
            </w:r>
            <w:r w:rsidR="00116F5C" w:rsidRPr="00352C6B">
              <w:rPr>
                <w:rFonts w:cs="Arial"/>
                <w:color w:val="000000"/>
                <w:sz w:val="18"/>
                <w:szCs w:val="18"/>
                <w:lang w:val="en-GB" w:eastAsia="en-GB"/>
              </w:rPr>
              <w:t>2-year</w:t>
            </w:r>
            <w:r w:rsidRPr="00352C6B">
              <w:rPr>
                <w:rFonts w:cs="Arial"/>
                <w:color w:val="000000"/>
                <w:sz w:val="18"/>
                <w:szCs w:val="18"/>
                <w:lang w:val="en-GB" w:eastAsia="en-GB"/>
              </w:rPr>
              <w:t xml:space="preserve"> period (ii)</w:t>
            </w:r>
          </w:p>
        </w:tc>
        <w:tc>
          <w:tcPr>
            <w:tcW w:w="2712" w:type="dxa"/>
            <w:tcBorders>
              <w:top w:val="nil"/>
              <w:left w:val="nil"/>
              <w:bottom w:val="nil"/>
              <w:right w:val="nil"/>
            </w:tcBorders>
            <w:shd w:val="clear" w:color="000000" w:fill="FFFFFF"/>
            <w:noWrap/>
            <w:vAlign w:val="bottom"/>
            <w:hideMark/>
          </w:tcPr>
          <w:p w14:paraId="58E80818"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lastRenderedPageBreak/>
              <w:t>(12.00%)</w:t>
            </w:r>
          </w:p>
        </w:tc>
      </w:tr>
      <w:tr w:rsidR="002D7293" w:rsidRPr="00352C6B" w14:paraId="3EB5834E" w14:textId="77777777" w:rsidTr="006349D7">
        <w:trPr>
          <w:trHeight w:val="255"/>
        </w:trPr>
        <w:tc>
          <w:tcPr>
            <w:tcW w:w="3686" w:type="dxa"/>
            <w:tcBorders>
              <w:top w:val="nil"/>
              <w:left w:val="nil"/>
              <w:bottom w:val="nil"/>
              <w:right w:val="nil"/>
            </w:tcBorders>
            <w:shd w:val="clear" w:color="000000" w:fill="FFFFFF"/>
            <w:noWrap/>
            <w:vAlign w:val="bottom"/>
            <w:hideMark/>
          </w:tcPr>
          <w:p w14:paraId="7679C1F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381346EC"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5694A11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EF451D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1DF442DB"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60F88ED" w14:textId="77777777" w:rsidTr="006349D7">
        <w:trPr>
          <w:trHeight w:val="255"/>
        </w:trPr>
        <w:tc>
          <w:tcPr>
            <w:tcW w:w="3686" w:type="dxa"/>
            <w:tcBorders>
              <w:top w:val="nil"/>
              <w:left w:val="nil"/>
              <w:bottom w:val="nil"/>
              <w:right w:val="nil"/>
            </w:tcBorders>
            <w:shd w:val="clear" w:color="000000" w:fill="FFFFFF"/>
            <w:noWrap/>
            <w:vAlign w:val="bottom"/>
            <w:hideMark/>
          </w:tcPr>
          <w:p w14:paraId="547B269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138383B6"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37609A5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00D981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Outperformance / (Underperformance) versus Benchmark</w:t>
            </w:r>
          </w:p>
        </w:tc>
        <w:tc>
          <w:tcPr>
            <w:tcW w:w="2712" w:type="dxa"/>
            <w:tcBorders>
              <w:top w:val="nil"/>
              <w:left w:val="nil"/>
              <w:bottom w:val="nil"/>
              <w:right w:val="nil"/>
            </w:tcBorders>
            <w:shd w:val="clear" w:color="000000" w:fill="FFFFFF"/>
            <w:noWrap/>
            <w:vAlign w:val="bottom"/>
            <w:hideMark/>
          </w:tcPr>
          <w:p w14:paraId="7490120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17.00%</w:t>
            </w:r>
          </w:p>
        </w:tc>
      </w:tr>
      <w:tr w:rsidR="002D7293" w:rsidRPr="00352C6B" w14:paraId="55118A96" w14:textId="77777777" w:rsidTr="006349D7">
        <w:trPr>
          <w:trHeight w:val="255"/>
        </w:trPr>
        <w:tc>
          <w:tcPr>
            <w:tcW w:w="3686" w:type="dxa"/>
            <w:tcBorders>
              <w:top w:val="nil"/>
              <w:left w:val="nil"/>
              <w:bottom w:val="nil"/>
              <w:right w:val="nil"/>
            </w:tcBorders>
            <w:shd w:val="clear" w:color="000000" w:fill="FFFFFF"/>
            <w:noWrap/>
            <w:vAlign w:val="bottom"/>
            <w:hideMark/>
          </w:tcPr>
          <w:p w14:paraId="2D04E0E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2F352B4E"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25CB0EF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A09624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550C5479"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3093947" w14:textId="77777777" w:rsidTr="006349D7">
        <w:trPr>
          <w:trHeight w:val="255"/>
        </w:trPr>
        <w:tc>
          <w:tcPr>
            <w:tcW w:w="3686" w:type="dxa"/>
            <w:tcBorders>
              <w:top w:val="nil"/>
              <w:left w:val="nil"/>
              <w:bottom w:val="nil"/>
              <w:right w:val="nil"/>
            </w:tcBorders>
            <w:shd w:val="clear" w:color="000000" w:fill="FFFFFF"/>
            <w:noWrap/>
            <w:vAlign w:val="bottom"/>
            <w:hideMark/>
          </w:tcPr>
          <w:p w14:paraId="1CFE742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68BB104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6B6D37C8"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801DD61" w14:textId="6E700C8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Outperformance during </w:t>
            </w:r>
            <w:r>
              <w:rPr>
                <w:rFonts w:cs="Arial"/>
                <w:color w:val="000000"/>
                <w:sz w:val="18"/>
                <w:szCs w:val="18"/>
                <w:lang w:val="en-GB" w:eastAsia="en-GB"/>
              </w:rPr>
              <w:t xml:space="preserve">Calculation </w:t>
            </w:r>
            <w:r w:rsidR="00116F5C">
              <w:rPr>
                <w:rFonts w:cs="Arial"/>
                <w:color w:val="000000"/>
                <w:sz w:val="18"/>
                <w:szCs w:val="18"/>
                <w:lang w:val="en-GB" w:eastAsia="en-GB"/>
              </w:rPr>
              <w:t>Period</w:t>
            </w:r>
            <w:r w:rsidR="00116F5C" w:rsidRPr="00352C6B">
              <w:rPr>
                <w:rFonts w:cs="Arial"/>
                <w:color w:val="000000"/>
                <w:sz w:val="18"/>
                <w:szCs w:val="18"/>
                <w:lang w:val="en-GB" w:eastAsia="en-GB"/>
              </w:rPr>
              <w:t>?</w:t>
            </w:r>
          </w:p>
        </w:tc>
        <w:tc>
          <w:tcPr>
            <w:tcW w:w="2712" w:type="dxa"/>
            <w:tcBorders>
              <w:top w:val="nil"/>
              <w:left w:val="nil"/>
              <w:bottom w:val="nil"/>
              <w:right w:val="nil"/>
            </w:tcBorders>
            <w:shd w:val="clear" w:color="000000" w:fill="FFFFFF"/>
            <w:noWrap/>
            <w:vAlign w:val="bottom"/>
            <w:hideMark/>
          </w:tcPr>
          <w:p w14:paraId="5A96B777"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Yes</w:t>
            </w:r>
          </w:p>
        </w:tc>
      </w:tr>
      <w:tr w:rsidR="002D7293" w:rsidRPr="00352C6B" w14:paraId="16B5235C" w14:textId="77777777" w:rsidTr="006349D7">
        <w:trPr>
          <w:trHeight w:val="255"/>
        </w:trPr>
        <w:tc>
          <w:tcPr>
            <w:tcW w:w="3686" w:type="dxa"/>
            <w:tcBorders>
              <w:top w:val="nil"/>
              <w:left w:val="nil"/>
              <w:bottom w:val="nil"/>
              <w:right w:val="nil"/>
            </w:tcBorders>
            <w:shd w:val="clear" w:color="000000" w:fill="FFFFFF"/>
            <w:noWrap/>
            <w:vAlign w:val="bottom"/>
            <w:hideMark/>
          </w:tcPr>
          <w:p w14:paraId="73E74BF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0B59D6D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1092B71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6787AD4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5B102DA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2AAE800" w14:textId="77777777" w:rsidTr="006349D7">
        <w:trPr>
          <w:trHeight w:val="255"/>
        </w:trPr>
        <w:tc>
          <w:tcPr>
            <w:tcW w:w="3686" w:type="dxa"/>
            <w:tcBorders>
              <w:top w:val="nil"/>
              <w:left w:val="nil"/>
              <w:bottom w:val="nil"/>
              <w:right w:val="nil"/>
            </w:tcBorders>
            <w:shd w:val="clear" w:color="000000" w:fill="FFFFFF"/>
            <w:noWrap/>
            <w:vAlign w:val="bottom"/>
            <w:hideMark/>
          </w:tcPr>
          <w:p w14:paraId="3E1A4E4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1239A2B5"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4823B3F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CBC367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Performance Fee rate</w:t>
            </w:r>
          </w:p>
        </w:tc>
        <w:tc>
          <w:tcPr>
            <w:tcW w:w="2712" w:type="dxa"/>
            <w:tcBorders>
              <w:top w:val="nil"/>
              <w:left w:val="nil"/>
              <w:bottom w:val="nil"/>
              <w:right w:val="nil"/>
            </w:tcBorders>
            <w:shd w:val="clear" w:color="000000" w:fill="FFFFFF"/>
            <w:noWrap/>
            <w:vAlign w:val="bottom"/>
            <w:hideMark/>
          </w:tcPr>
          <w:p w14:paraId="7B82595B"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15.00%</w:t>
            </w:r>
          </w:p>
        </w:tc>
      </w:tr>
      <w:tr w:rsidR="002D7293" w:rsidRPr="00352C6B" w14:paraId="6277695D" w14:textId="77777777" w:rsidTr="006349D7">
        <w:trPr>
          <w:trHeight w:val="255"/>
        </w:trPr>
        <w:tc>
          <w:tcPr>
            <w:tcW w:w="3686" w:type="dxa"/>
            <w:tcBorders>
              <w:top w:val="nil"/>
              <w:left w:val="nil"/>
              <w:bottom w:val="nil"/>
              <w:right w:val="nil"/>
            </w:tcBorders>
            <w:shd w:val="clear" w:color="000000" w:fill="FFFFFF"/>
            <w:noWrap/>
            <w:vAlign w:val="bottom"/>
            <w:hideMark/>
          </w:tcPr>
          <w:p w14:paraId="0193303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06ADEDF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598E44B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41EE0F3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64CB332E"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0FB2CDA" w14:textId="77777777" w:rsidTr="006349D7">
        <w:trPr>
          <w:trHeight w:val="255"/>
        </w:trPr>
        <w:tc>
          <w:tcPr>
            <w:tcW w:w="3686" w:type="dxa"/>
            <w:tcBorders>
              <w:top w:val="nil"/>
              <w:left w:val="nil"/>
              <w:bottom w:val="nil"/>
              <w:right w:val="nil"/>
            </w:tcBorders>
            <w:shd w:val="clear" w:color="000000" w:fill="FFFFFF"/>
            <w:noWrap/>
            <w:vAlign w:val="bottom"/>
            <w:hideMark/>
          </w:tcPr>
          <w:p w14:paraId="1A12061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407FF95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088C804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121F43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Performance Fee payable</w:t>
            </w:r>
          </w:p>
        </w:tc>
        <w:tc>
          <w:tcPr>
            <w:tcW w:w="2712" w:type="dxa"/>
            <w:tcBorders>
              <w:top w:val="nil"/>
              <w:left w:val="nil"/>
              <w:bottom w:val="nil"/>
              <w:right w:val="nil"/>
            </w:tcBorders>
            <w:shd w:val="clear" w:color="000000" w:fill="FFFFFF"/>
            <w:noWrap/>
            <w:vAlign w:val="bottom"/>
            <w:hideMark/>
          </w:tcPr>
          <w:p w14:paraId="5EA1D1D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2.55%</w:t>
            </w:r>
          </w:p>
        </w:tc>
      </w:tr>
      <w:tr w:rsidR="002D7293" w:rsidRPr="00352C6B" w14:paraId="28A0CBCE" w14:textId="77777777" w:rsidTr="006349D7">
        <w:trPr>
          <w:trHeight w:val="255"/>
        </w:trPr>
        <w:tc>
          <w:tcPr>
            <w:tcW w:w="3686" w:type="dxa"/>
            <w:tcBorders>
              <w:top w:val="nil"/>
              <w:left w:val="nil"/>
              <w:bottom w:val="nil"/>
              <w:right w:val="nil"/>
            </w:tcBorders>
            <w:shd w:val="clear" w:color="000000" w:fill="FFFFFF"/>
            <w:noWrap/>
            <w:vAlign w:val="bottom"/>
            <w:hideMark/>
          </w:tcPr>
          <w:p w14:paraId="3EF4463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3C368D77"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13DDD93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40E3A5D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85D26A7"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055B527" w14:textId="77777777" w:rsidTr="006349D7">
        <w:trPr>
          <w:trHeight w:val="255"/>
        </w:trPr>
        <w:tc>
          <w:tcPr>
            <w:tcW w:w="3686" w:type="dxa"/>
            <w:tcBorders>
              <w:top w:val="nil"/>
              <w:left w:val="nil"/>
              <w:bottom w:val="nil"/>
              <w:right w:val="nil"/>
            </w:tcBorders>
            <w:shd w:val="clear" w:color="000000" w:fill="FFFFFF"/>
            <w:noWrap/>
            <w:vAlign w:val="bottom"/>
            <w:hideMark/>
          </w:tcPr>
          <w:p w14:paraId="3BB7707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076305F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7CE7873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93AA683" w14:textId="43567089"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Will a new </w:t>
            </w:r>
            <w:r>
              <w:rPr>
                <w:rFonts w:cs="Arial"/>
                <w:color w:val="000000"/>
                <w:sz w:val="18"/>
                <w:szCs w:val="18"/>
                <w:lang w:val="en-GB" w:eastAsia="en-GB"/>
              </w:rPr>
              <w:t>Calculation Period</w:t>
            </w:r>
            <w:r w:rsidRPr="00352C6B">
              <w:rPr>
                <w:rFonts w:cs="Arial"/>
                <w:color w:val="000000"/>
                <w:sz w:val="18"/>
                <w:szCs w:val="18"/>
                <w:lang w:val="en-GB" w:eastAsia="en-GB"/>
              </w:rPr>
              <w:t xml:space="preserve"> begin next </w:t>
            </w:r>
            <w:r w:rsidR="00116F5C" w:rsidRPr="00352C6B">
              <w:rPr>
                <w:rFonts w:cs="Arial"/>
                <w:color w:val="000000"/>
                <w:sz w:val="18"/>
                <w:szCs w:val="18"/>
                <w:lang w:val="en-GB" w:eastAsia="en-GB"/>
              </w:rPr>
              <w:t>year?</w:t>
            </w:r>
          </w:p>
        </w:tc>
        <w:tc>
          <w:tcPr>
            <w:tcW w:w="2712" w:type="dxa"/>
            <w:tcBorders>
              <w:top w:val="nil"/>
              <w:left w:val="nil"/>
              <w:bottom w:val="nil"/>
              <w:right w:val="nil"/>
            </w:tcBorders>
            <w:shd w:val="clear" w:color="000000" w:fill="FFFFFF"/>
            <w:noWrap/>
            <w:vAlign w:val="bottom"/>
            <w:hideMark/>
          </w:tcPr>
          <w:p w14:paraId="3A12DA8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Yes</w:t>
            </w:r>
          </w:p>
        </w:tc>
      </w:tr>
      <w:tr w:rsidR="002D7293" w:rsidRPr="00352C6B" w14:paraId="11D5CED5" w14:textId="77777777" w:rsidTr="006349D7">
        <w:trPr>
          <w:trHeight w:val="255"/>
        </w:trPr>
        <w:tc>
          <w:tcPr>
            <w:tcW w:w="3686" w:type="dxa"/>
            <w:tcBorders>
              <w:top w:val="nil"/>
              <w:left w:val="nil"/>
              <w:bottom w:val="single" w:sz="4" w:space="0" w:color="auto"/>
              <w:right w:val="nil"/>
            </w:tcBorders>
            <w:shd w:val="clear" w:color="000000" w:fill="FFFFFF"/>
            <w:noWrap/>
            <w:vAlign w:val="bottom"/>
            <w:hideMark/>
          </w:tcPr>
          <w:p w14:paraId="7313394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single" w:sz="4" w:space="0" w:color="auto"/>
              <w:right w:val="nil"/>
            </w:tcBorders>
            <w:shd w:val="clear" w:color="000000" w:fill="FFFFFF"/>
            <w:noWrap/>
            <w:vAlign w:val="bottom"/>
            <w:hideMark/>
          </w:tcPr>
          <w:p w14:paraId="438A88FB"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single" w:sz="4" w:space="0" w:color="auto"/>
              <w:right w:val="nil"/>
            </w:tcBorders>
            <w:shd w:val="clear" w:color="000000" w:fill="FFFFFF"/>
            <w:noWrap/>
            <w:vAlign w:val="bottom"/>
            <w:hideMark/>
          </w:tcPr>
          <w:p w14:paraId="34B5E20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single" w:sz="4" w:space="0" w:color="auto"/>
              <w:right w:val="nil"/>
            </w:tcBorders>
            <w:shd w:val="clear" w:color="000000" w:fill="FFFFFF"/>
            <w:noWrap/>
            <w:vAlign w:val="bottom"/>
            <w:hideMark/>
          </w:tcPr>
          <w:p w14:paraId="40ACB5A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single" w:sz="4" w:space="0" w:color="auto"/>
              <w:right w:val="nil"/>
            </w:tcBorders>
            <w:shd w:val="clear" w:color="000000" w:fill="FFFFFF"/>
            <w:noWrap/>
            <w:vAlign w:val="bottom"/>
            <w:hideMark/>
          </w:tcPr>
          <w:p w14:paraId="3CC2A23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3171BDA0" w14:textId="77777777" w:rsidTr="006349D7">
        <w:trPr>
          <w:trHeight w:val="255"/>
        </w:trPr>
        <w:tc>
          <w:tcPr>
            <w:tcW w:w="3686" w:type="dxa"/>
            <w:tcBorders>
              <w:top w:val="nil"/>
              <w:left w:val="nil"/>
              <w:bottom w:val="nil"/>
              <w:right w:val="nil"/>
            </w:tcBorders>
            <w:shd w:val="clear" w:color="000000" w:fill="FFFFFF"/>
            <w:noWrap/>
            <w:vAlign w:val="bottom"/>
            <w:hideMark/>
          </w:tcPr>
          <w:p w14:paraId="526C735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259249D2"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7826B60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002157D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1A32FF1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F0A1104" w14:textId="77777777" w:rsidTr="006349D7">
        <w:trPr>
          <w:trHeight w:val="255"/>
        </w:trPr>
        <w:tc>
          <w:tcPr>
            <w:tcW w:w="3686" w:type="dxa"/>
            <w:tcBorders>
              <w:top w:val="nil"/>
              <w:left w:val="nil"/>
              <w:bottom w:val="nil"/>
              <w:right w:val="nil"/>
            </w:tcBorders>
            <w:shd w:val="clear" w:color="000000" w:fill="FFFFFF"/>
            <w:noWrap/>
            <w:vAlign w:val="bottom"/>
            <w:hideMark/>
          </w:tcPr>
          <w:p w14:paraId="73846CE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3A53052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1DF89EC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65EFFF5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4322F47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10560D71" w14:textId="77777777" w:rsidTr="006349D7">
        <w:trPr>
          <w:trHeight w:val="270"/>
        </w:trPr>
        <w:tc>
          <w:tcPr>
            <w:tcW w:w="3686" w:type="dxa"/>
            <w:tcBorders>
              <w:top w:val="nil"/>
              <w:left w:val="nil"/>
              <w:bottom w:val="nil"/>
              <w:right w:val="nil"/>
            </w:tcBorders>
            <w:shd w:val="clear" w:color="000000" w:fill="FFFFFF"/>
            <w:noWrap/>
            <w:vAlign w:val="bottom"/>
            <w:hideMark/>
          </w:tcPr>
          <w:p w14:paraId="303B835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62BA0D6"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02C61CF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055206E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6DE7C5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2C126E8" w14:textId="77777777" w:rsidTr="006349D7">
        <w:trPr>
          <w:trHeight w:val="255"/>
        </w:trPr>
        <w:tc>
          <w:tcPr>
            <w:tcW w:w="3686" w:type="dxa"/>
            <w:tcBorders>
              <w:top w:val="single" w:sz="8" w:space="0" w:color="auto"/>
              <w:left w:val="nil"/>
              <w:bottom w:val="nil"/>
              <w:right w:val="nil"/>
            </w:tcBorders>
            <w:shd w:val="clear" w:color="000000" w:fill="FFFFFF"/>
            <w:noWrap/>
            <w:vAlign w:val="bottom"/>
            <w:hideMark/>
          </w:tcPr>
          <w:p w14:paraId="504E5070" w14:textId="77777777" w:rsidR="002D7293" w:rsidRPr="00352C6B" w:rsidRDefault="002D7293" w:rsidP="006349D7">
            <w:pPr>
              <w:jc w:val="left"/>
              <w:rPr>
                <w:rFonts w:cs="Arial"/>
                <w:b/>
                <w:bCs/>
                <w:color w:val="000000"/>
                <w:sz w:val="18"/>
                <w:szCs w:val="18"/>
                <w:lang w:val="en-GB" w:eastAsia="en-GB"/>
              </w:rPr>
            </w:pPr>
            <w:r w:rsidRPr="00352C6B">
              <w:rPr>
                <w:rFonts w:cs="Arial"/>
                <w:b/>
                <w:bCs/>
                <w:color w:val="000000"/>
                <w:sz w:val="18"/>
                <w:szCs w:val="18"/>
                <w:lang w:val="en-GB" w:eastAsia="en-GB"/>
              </w:rPr>
              <w:t>Year 4</w:t>
            </w:r>
          </w:p>
        </w:tc>
        <w:tc>
          <w:tcPr>
            <w:tcW w:w="1275" w:type="dxa"/>
            <w:tcBorders>
              <w:top w:val="single" w:sz="8" w:space="0" w:color="auto"/>
              <w:left w:val="nil"/>
              <w:bottom w:val="nil"/>
              <w:right w:val="nil"/>
            </w:tcBorders>
            <w:shd w:val="clear" w:color="000000" w:fill="FFFFFF"/>
            <w:noWrap/>
            <w:vAlign w:val="bottom"/>
            <w:hideMark/>
          </w:tcPr>
          <w:p w14:paraId="6770AEDA"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68F0DD0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B5D1F3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E83D64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3EBB6010" w14:textId="77777777" w:rsidTr="006349D7">
        <w:trPr>
          <w:trHeight w:val="255"/>
        </w:trPr>
        <w:tc>
          <w:tcPr>
            <w:tcW w:w="3686" w:type="dxa"/>
            <w:tcBorders>
              <w:top w:val="nil"/>
              <w:left w:val="nil"/>
              <w:bottom w:val="nil"/>
              <w:right w:val="nil"/>
            </w:tcBorders>
            <w:shd w:val="clear" w:color="000000" w:fill="FFFFFF"/>
            <w:noWrap/>
            <w:vAlign w:val="bottom"/>
            <w:hideMark/>
          </w:tcPr>
          <w:p w14:paraId="26FE717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0A52C9C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Annual</w:t>
            </w:r>
          </w:p>
        </w:tc>
        <w:tc>
          <w:tcPr>
            <w:tcW w:w="267" w:type="dxa"/>
            <w:tcBorders>
              <w:top w:val="nil"/>
              <w:left w:val="nil"/>
              <w:bottom w:val="nil"/>
              <w:right w:val="nil"/>
            </w:tcBorders>
            <w:shd w:val="clear" w:color="000000" w:fill="FFFFFF"/>
            <w:noWrap/>
            <w:vAlign w:val="bottom"/>
            <w:hideMark/>
          </w:tcPr>
          <w:p w14:paraId="2512B274"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954CE9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586C83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6861E5B" w14:textId="77777777" w:rsidTr="006349D7">
        <w:trPr>
          <w:trHeight w:val="255"/>
        </w:trPr>
        <w:tc>
          <w:tcPr>
            <w:tcW w:w="3686" w:type="dxa"/>
            <w:tcBorders>
              <w:top w:val="nil"/>
              <w:left w:val="nil"/>
              <w:bottom w:val="single" w:sz="4" w:space="0" w:color="auto"/>
              <w:right w:val="nil"/>
            </w:tcBorders>
            <w:shd w:val="clear" w:color="000000" w:fill="FFFFFF"/>
            <w:noWrap/>
            <w:vAlign w:val="bottom"/>
            <w:hideMark/>
          </w:tcPr>
          <w:p w14:paraId="3561123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single" w:sz="4" w:space="0" w:color="auto"/>
              <w:right w:val="nil"/>
            </w:tcBorders>
            <w:shd w:val="clear" w:color="000000" w:fill="FFFFFF"/>
            <w:noWrap/>
            <w:vAlign w:val="bottom"/>
            <w:hideMark/>
          </w:tcPr>
          <w:p w14:paraId="6805927D"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Return</w:t>
            </w:r>
          </w:p>
        </w:tc>
        <w:tc>
          <w:tcPr>
            <w:tcW w:w="267" w:type="dxa"/>
            <w:tcBorders>
              <w:top w:val="nil"/>
              <w:left w:val="nil"/>
              <w:bottom w:val="nil"/>
              <w:right w:val="nil"/>
            </w:tcBorders>
            <w:shd w:val="clear" w:color="000000" w:fill="FFFFFF"/>
            <w:noWrap/>
            <w:vAlign w:val="bottom"/>
            <w:hideMark/>
          </w:tcPr>
          <w:p w14:paraId="38D1A791"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E163D9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1644BFF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7714BFB1" w14:textId="77777777" w:rsidTr="006349D7">
        <w:trPr>
          <w:trHeight w:val="255"/>
        </w:trPr>
        <w:tc>
          <w:tcPr>
            <w:tcW w:w="3686" w:type="dxa"/>
            <w:tcBorders>
              <w:top w:val="nil"/>
              <w:left w:val="nil"/>
              <w:bottom w:val="nil"/>
              <w:right w:val="nil"/>
            </w:tcBorders>
            <w:shd w:val="clear" w:color="000000" w:fill="FFFFFF"/>
            <w:noWrap/>
            <w:vAlign w:val="bottom"/>
            <w:hideMark/>
          </w:tcPr>
          <w:p w14:paraId="424773E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Share Class Return (i)</w:t>
            </w:r>
          </w:p>
        </w:tc>
        <w:tc>
          <w:tcPr>
            <w:tcW w:w="1275" w:type="dxa"/>
            <w:tcBorders>
              <w:top w:val="nil"/>
              <w:left w:val="nil"/>
              <w:bottom w:val="nil"/>
              <w:right w:val="nil"/>
            </w:tcBorders>
            <w:shd w:val="clear" w:color="000000" w:fill="FFFFFF"/>
            <w:noWrap/>
            <w:vAlign w:val="bottom"/>
            <w:hideMark/>
          </w:tcPr>
          <w:p w14:paraId="4A3665DF"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(3.00%)</w:t>
            </w:r>
          </w:p>
        </w:tc>
        <w:tc>
          <w:tcPr>
            <w:tcW w:w="267" w:type="dxa"/>
            <w:tcBorders>
              <w:top w:val="nil"/>
              <w:left w:val="nil"/>
              <w:bottom w:val="nil"/>
              <w:right w:val="nil"/>
            </w:tcBorders>
            <w:shd w:val="clear" w:color="000000" w:fill="FFFFFF"/>
            <w:noWrap/>
            <w:vAlign w:val="bottom"/>
            <w:hideMark/>
          </w:tcPr>
          <w:p w14:paraId="23EEE6A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1F12F81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5C58F3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DA4FBD1" w14:textId="77777777" w:rsidTr="006349D7">
        <w:trPr>
          <w:trHeight w:val="255"/>
        </w:trPr>
        <w:tc>
          <w:tcPr>
            <w:tcW w:w="3686" w:type="dxa"/>
            <w:tcBorders>
              <w:top w:val="nil"/>
              <w:left w:val="nil"/>
              <w:bottom w:val="nil"/>
              <w:right w:val="nil"/>
            </w:tcBorders>
            <w:shd w:val="clear" w:color="000000" w:fill="FFFFFF"/>
            <w:noWrap/>
            <w:vAlign w:val="bottom"/>
            <w:hideMark/>
          </w:tcPr>
          <w:p w14:paraId="720AF3C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Benchmark Return (ii)</w:t>
            </w:r>
          </w:p>
        </w:tc>
        <w:tc>
          <w:tcPr>
            <w:tcW w:w="1275" w:type="dxa"/>
            <w:tcBorders>
              <w:top w:val="nil"/>
              <w:left w:val="nil"/>
              <w:bottom w:val="nil"/>
              <w:right w:val="nil"/>
            </w:tcBorders>
            <w:shd w:val="clear" w:color="000000" w:fill="FFFFFF"/>
            <w:noWrap/>
            <w:vAlign w:val="bottom"/>
            <w:hideMark/>
          </w:tcPr>
          <w:p w14:paraId="293699D2"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(6.00%)</w:t>
            </w:r>
          </w:p>
        </w:tc>
        <w:tc>
          <w:tcPr>
            <w:tcW w:w="267" w:type="dxa"/>
            <w:tcBorders>
              <w:top w:val="nil"/>
              <w:left w:val="nil"/>
              <w:bottom w:val="nil"/>
              <w:right w:val="nil"/>
            </w:tcBorders>
            <w:shd w:val="clear" w:color="000000" w:fill="FFFFFF"/>
            <w:noWrap/>
            <w:vAlign w:val="bottom"/>
            <w:hideMark/>
          </w:tcPr>
          <w:p w14:paraId="2EB7CB4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BFD5EC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229837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23210D4" w14:textId="77777777" w:rsidTr="006349D7">
        <w:trPr>
          <w:trHeight w:val="255"/>
        </w:trPr>
        <w:tc>
          <w:tcPr>
            <w:tcW w:w="3686" w:type="dxa"/>
            <w:tcBorders>
              <w:top w:val="nil"/>
              <w:left w:val="nil"/>
              <w:bottom w:val="nil"/>
              <w:right w:val="nil"/>
            </w:tcBorders>
            <w:shd w:val="clear" w:color="000000" w:fill="FFFFFF"/>
            <w:noWrap/>
            <w:vAlign w:val="bottom"/>
            <w:hideMark/>
          </w:tcPr>
          <w:p w14:paraId="2D5D526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02DF15B"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2D91310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6120ACB"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6D34EB4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20BD7342" w14:textId="77777777" w:rsidTr="006349D7">
        <w:trPr>
          <w:trHeight w:val="255"/>
        </w:trPr>
        <w:tc>
          <w:tcPr>
            <w:tcW w:w="3686" w:type="dxa"/>
            <w:tcBorders>
              <w:top w:val="nil"/>
              <w:left w:val="nil"/>
              <w:bottom w:val="nil"/>
              <w:right w:val="nil"/>
            </w:tcBorders>
            <w:shd w:val="clear" w:color="000000" w:fill="FFFFFF"/>
            <w:noWrap/>
            <w:vAlign w:val="bottom"/>
            <w:hideMark/>
          </w:tcPr>
          <w:p w14:paraId="75BC645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Outperformance / (Underperformance) versus Benchmark</w:t>
            </w:r>
          </w:p>
        </w:tc>
        <w:tc>
          <w:tcPr>
            <w:tcW w:w="1275" w:type="dxa"/>
            <w:tcBorders>
              <w:top w:val="nil"/>
              <w:left w:val="nil"/>
              <w:bottom w:val="nil"/>
              <w:right w:val="nil"/>
            </w:tcBorders>
            <w:shd w:val="clear" w:color="000000" w:fill="FFFFFF"/>
            <w:noWrap/>
            <w:vAlign w:val="bottom"/>
            <w:hideMark/>
          </w:tcPr>
          <w:p w14:paraId="57632B56"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3.00%</w:t>
            </w:r>
          </w:p>
        </w:tc>
        <w:tc>
          <w:tcPr>
            <w:tcW w:w="267" w:type="dxa"/>
            <w:tcBorders>
              <w:top w:val="nil"/>
              <w:left w:val="nil"/>
              <w:bottom w:val="nil"/>
              <w:right w:val="nil"/>
            </w:tcBorders>
            <w:shd w:val="clear" w:color="000000" w:fill="FFFFFF"/>
            <w:noWrap/>
            <w:vAlign w:val="bottom"/>
            <w:hideMark/>
          </w:tcPr>
          <w:p w14:paraId="12825D4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E41613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1D3BF89D"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DD58A8A" w14:textId="77777777" w:rsidTr="006349D7">
        <w:trPr>
          <w:trHeight w:val="255"/>
        </w:trPr>
        <w:tc>
          <w:tcPr>
            <w:tcW w:w="3686" w:type="dxa"/>
            <w:tcBorders>
              <w:top w:val="nil"/>
              <w:left w:val="nil"/>
              <w:bottom w:val="nil"/>
              <w:right w:val="nil"/>
            </w:tcBorders>
            <w:shd w:val="clear" w:color="000000" w:fill="FFFFFF"/>
            <w:noWrap/>
            <w:vAlign w:val="bottom"/>
            <w:hideMark/>
          </w:tcPr>
          <w:p w14:paraId="1EFB64C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2D54CEF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299418C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18704E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23D3C26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494684C4" w14:textId="77777777" w:rsidTr="006349D7">
        <w:trPr>
          <w:trHeight w:val="255"/>
        </w:trPr>
        <w:tc>
          <w:tcPr>
            <w:tcW w:w="3686" w:type="dxa"/>
            <w:tcBorders>
              <w:top w:val="nil"/>
              <w:left w:val="nil"/>
              <w:bottom w:val="nil"/>
              <w:right w:val="nil"/>
            </w:tcBorders>
            <w:shd w:val="clear" w:color="000000" w:fill="FFFFFF"/>
            <w:noWrap/>
            <w:vAlign w:val="bottom"/>
            <w:hideMark/>
          </w:tcPr>
          <w:p w14:paraId="54308E8C" w14:textId="1CE52286"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Outperformance during </w:t>
            </w:r>
            <w:r>
              <w:rPr>
                <w:rFonts w:cs="Arial"/>
                <w:color w:val="000000"/>
                <w:sz w:val="18"/>
                <w:szCs w:val="18"/>
                <w:lang w:val="en-GB" w:eastAsia="en-GB"/>
              </w:rPr>
              <w:t xml:space="preserve">Calculation </w:t>
            </w:r>
            <w:r w:rsidR="00116F5C">
              <w:rPr>
                <w:rFonts w:cs="Arial"/>
                <w:color w:val="000000"/>
                <w:sz w:val="18"/>
                <w:szCs w:val="18"/>
                <w:lang w:val="en-GB" w:eastAsia="en-GB"/>
              </w:rPr>
              <w:t>Period</w:t>
            </w:r>
            <w:r w:rsidR="00116F5C" w:rsidRPr="00352C6B">
              <w:rPr>
                <w:rFonts w:cs="Arial"/>
                <w:color w:val="000000"/>
                <w:sz w:val="18"/>
                <w:szCs w:val="18"/>
                <w:lang w:val="en-GB" w:eastAsia="en-GB"/>
              </w:rPr>
              <w:t>?</w:t>
            </w:r>
          </w:p>
        </w:tc>
        <w:tc>
          <w:tcPr>
            <w:tcW w:w="1275" w:type="dxa"/>
            <w:tcBorders>
              <w:top w:val="nil"/>
              <w:left w:val="nil"/>
              <w:bottom w:val="nil"/>
              <w:right w:val="nil"/>
            </w:tcBorders>
            <w:shd w:val="clear" w:color="000000" w:fill="FFFFFF"/>
            <w:noWrap/>
            <w:vAlign w:val="bottom"/>
            <w:hideMark/>
          </w:tcPr>
          <w:p w14:paraId="65D97676"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Yes</w:t>
            </w:r>
          </w:p>
        </w:tc>
        <w:tc>
          <w:tcPr>
            <w:tcW w:w="267" w:type="dxa"/>
            <w:tcBorders>
              <w:top w:val="nil"/>
              <w:left w:val="nil"/>
              <w:bottom w:val="nil"/>
              <w:right w:val="nil"/>
            </w:tcBorders>
            <w:shd w:val="clear" w:color="000000" w:fill="FFFFFF"/>
            <w:noWrap/>
            <w:vAlign w:val="bottom"/>
            <w:hideMark/>
          </w:tcPr>
          <w:p w14:paraId="62A27265"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0D0B6B4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A1E58E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CDD8D38" w14:textId="77777777" w:rsidTr="006349D7">
        <w:trPr>
          <w:trHeight w:val="255"/>
        </w:trPr>
        <w:tc>
          <w:tcPr>
            <w:tcW w:w="3686" w:type="dxa"/>
            <w:tcBorders>
              <w:top w:val="nil"/>
              <w:left w:val="nil"/>
              <w:bottom w:val="nil"/>
              <w:right w:val="nil"/>
            </w:tcBorders>
            <w:shd w:val="clear" w:color="000000" w:fill="FFFFFF"/>
            <w:noWrap/>
            <w:vAlign w:val="bottom"/>
            <w:hideMark/>
          </w:tcPr>
          <w:p w14:paraId="3160390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5378BBFA"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59D0380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2401D54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55F1CB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11D5CF98" w14:textId="77777777" w:rsidTr="006349D7">
        <w:trPr>
          <w:trHeight w:val="255"/>
        </w:trPr>
        <w:tc>
          <w:tcPr>
            <w:tcW w:w="3686" w:type="dxa"/>
            <w:tcBorders>
              <w:top w:val="nil"/>
              <w:left w:val="nil"/>
              <w:bottom w:val="nil"/>
              <w:right w:val="nil"/>
            </w:tcBorders>
            <w:shd w:val="clear" w:color="000000" w:fill="FFFFFF"/>
            <w:noWrap/>
            <w:vAlign w:val="bottom"/>
            <w:hideMark/>
          </w:tcPr>
          <w:p w14:paraId="3A7F772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Performance Fee rate</w:t>
            </w:r>
          </w:p>
        </w:tc>
        <w:tc>
          <w:tcPr>
            <w:tcW w:w="1275" w:type="dxa"/>
            <w:tcBorders>
              <w:top w:val="nil"/>
              <w:left w:val="nil"/>
              <w:bottom w:val="nil"/>
              <w:right w:val="nil"/>
            </w:tcBorders>
            <w:shd w:val="clear" w:color="000000" w:fill="FFFFFF"/>
            <w:noWrap/>
            <w:vAlign w:val="bottom"/>
            <w:hideMark/>
          </w:tcPr>
          <w:p w14:paraId="470C17BF"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15.00%</w:t>
            </w:r>
          </w:p>
        </w:tc>
        <w:tc>
          <w:tcPr>
            <w:tcW w:w="267" w:type="dxa"/>
            <w:tcBorders>
              <w:top w:val="nil"/>
              <w:left w:val="nil"/>
              <w:bottom w:val="nil"/>
              <w:right w:val="nil"/>
            </w:tcBorders>
            <w:shd w:val="clear" w:color="000000" w:fill="FFFFFF"/>
            <w:noWrap/>
            <w:vAlign w:val="bottom"/>
            <w:hideMark/>
          </w:tcPr>
          <w:p w14:paraId="35F7D3C7"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F84478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10B8851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60F5A74" w14:textId="77777777" w:rsidTr="006349D7">
        <w:trPr>
          <w:trHeight w:val="255"/>
        </w:trPr>
        <w:tc>
          <w:tcPr>
            <w:tcW w:w="3686" w:type="dxa"/>
            <w:tcBorders>
              <w:top w:val="nil"/>
              <w:left w:val="nil"/>
              <w:bottom w:val="nil"/>
              <w:right w:val="nil"/>
            </w:tcBorders>
            <w:shd w:val="clear" w:color="000000" w:fill="FFFFFF"/>
            <w:noWrap/>
            <w:vAlign w:val="bottom"/>
            <w:hideMark/>
          </w:tcPr>
          <w:p w14:paraId="5289BBB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08F2DF28"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6867B12F"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6D0545F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7E5B0D0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5096ED9F" w14:textId="77777777" w:rsidTr="006349D7">
        <w:trPr>
          <w:trHeight w:val="255"/>
        </w:trPr>
        <w:tc>
          <w:tcPr>
            <w:tcW w:w="3686" w:type="dxa"/>
            <w:tcBorders>
              <w:top w:val="nil"/>
              <w:left w:val="nil"/>
              <w:bottom w:val="nil"/>
              <w:right w:val="nil"/>
            </w:tcBorders>
            <w:shd w:val="clear" w:color="000000" w:fill="FFFFFF"/>
            <w:noWrap/>
            <w:vAlign w:val="bottom"/>
            <w:hideMark/>
          </w:tcPr>
          <w:p w14:paraId="160DBB55"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Performance Fee payable</w:t>
            </w:r>
          </w:p>
        </w:tc>
        <w:tc>
          <w:tcPr>
            <w:tcW w:w="1275" w:type="dxa"/>
            <w:tcBorders>
              <w:top w:val="nil"/>
              <w:left w:val="nil"/>
              <w:bottom w:val="nil"/>
              <w:right w:val="nil"/>
            </w:tcBorders>
            <w:shd w:val="clear" w:color="000000" w:fill="FFFFFF"/>
            <w:noWrap/>
            <w:vAlign w:val="bottom"/>
            <w:hideMark/>
          </w:tcPr>
          <w:p w14:paraId="27D85F48"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0.45%</w:t>
            </w:r>
          </w:p>
        </w:tc>
        <w:tc>
          <w:tcPr>
            <w:tcW w:w="267" w:type="dxa"/>
            <w:tcBorders>
              <w:top w:val="nil"/>
              <w:left w:val="nil"/>
              <w:bottom w:val="nil"/>
              <w:right w:val="nil"/>
            </w:tcBorders>
            <w:shd w:val="clear" w:color="000000" w:fill="FFFFFF"/>
            <w:noWrap/>
            <w:vAlign w:val="bottom"/>
            <w:hideMark/>
          </w:tcPr>
          <w:p w14:paraId="32CC17DC"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ABC306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009AE02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10DB269D" w14:textId="77777777" w:rsidTr="006349D7">
        <w:trPr>
          <w:trHeight w:val="255"/>
        </w:trPr>
        <w:tc>
          <w:tcPr>
            <w:tcW w:w="3686" w:type="dxa"/>
            <w:tcBorders>
              <w:top w:val="nil"/>
              <w:left w:val="nil"/>
              <w:bottom w:val="nil"/>
              <w:right w:val="nil"/>
            </w:tcBorders>
            <w:shd w:val="clear" w:color="000000" w:fill="FFFFFF"/>
            <w:noWrap/>
            <w:vAlign w:val="bottom"/>
            <w:hideMark/>
          </w:tcPr>
          <w:p w14:paraId="4926CD5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0A0937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5B45342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08EEE82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504C0EA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D129E1B" w14:textId="77777777" w:rsidTr="006349D7">
        <w:trPr>
          <w:trHeight w:val="255"/>
        </w:trPr>
        <w:tc>
          <w:tcPr>
            <w:tcW w:w="3686" w:type="dxa"/>
            <w:tcBorders>
              <w:top w:val="nil"/>
              <w:left w:val="nil"/>
              <w:bottom w:val="nil"/>
              <w:right w:val="nil"/>
            </w:tcBorders>
            <w:shd w:val="clear" w:color="000000" w:fill="FFFFFF"/>
            <w:noWrap/>
            <w:vAlign w:val="bottom"/>
            <w:hideMark/>
          </w:tcPr>
          <w:p w14:paraId="426517DF" w14:textId="0EC68683"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Will a new </w:t>
            </w:r>
            <w:r>
              <w:rPr>
                <w:rFonts w:cs="Arial"/>
                <w:color w:val="000000"/>
                <w:sz w:val="18"/>
                <w:szCs w:val="18"/>
                <w:lang w:val="en-GB" w:eastAsia="en-GB"/>
              </w:rPr>
              <w:t>Calculation Period</w:t>
            </w:r>
            <w:r w:rsidRPr="00352C6B">
              <w:rPr>
                <w:rFonts w:cs="Arial"/>
                <w:color w:val="000000"/>
                <w:sz w:val="18"/>
                <w:szCs w:val="18"/>
                <w:lang w:val="en-GB" w:eastAsia="en-GB"/>
              </w:rPr>
              <w:t xml:space="preserve"> begin next </w:t>
            </w:r>
            <w:r w:rsidR="00116F5C" w:rsidRPr="00352C6B">
              <w:rPr>
                <w:rFonts w:cs="Arial"/>
                <w:color w:val="000000"/>
                <w:sz w:val="18"/>
                <w:szCs w:val="18"/>
                <w:lang w:val="en-GB" w:eastAsia="en-GB"/>
              </w:rPr>
              <w:t>year?</w:t>
            </w:r>
          </w:p>
        </w:tc>
        <w:tc>
          <w:tcPr>
            <w:tcW w:w="1275" w:type="dxa"/>
            <w:tcBorders>
              <w:top w:val="nil"/>
              <w:left w:val="nil"/>
              <w:bottom w:val="nil"/>
              <w:right w:val="nil"/>
            </w:tcBorders>
            <w:shd w:val="clear" w:color="000000" w:fill="FFFFFF"/>
            <w:noWrap/>
            <w:vAlign w:val="bottom"/>
            <w:hideMark/>
          </w:tcPr>
          <w:p w14:paraId="3B51A0C0"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Yes</w:t>
            </w:r>
          </w:p>
        </w:tc>
        <w:tc>
          <w:tcPr>
            <w:tcW w:w="267" w:type="dxa"/>
            <w:tcBorders>
              <w:top w:val="nil"/>
              <w:left w:val="nil"/>
              <w:bottom w:val="nil"/>
              <w:right w:val="nil"/>
            </w:tcBorders>
            <w:shd w:val="clear" w:color="000000" w:fill="FFFFFF"/>
            <w:noWrap/>
            <w:vAlign w:val="bottom"/>
            <w:hideMark/>
          </w:tcPr>
          <w:p w14:paraId="4590BE5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5CE1F7B9"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63E96D4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41B1F553" w14:textId="77777777" w:rsidTr="006349D7">
        <w:trPr>
          <w:trHeight w:val="255"/>
        </w:trPr>
        <w:tc>
          <w:tcPr>
            <w:tcW w:w="3686" w:type="dxa"/>
            <w:tcBorders>
              <w:top w:val="nil"/>
              <w:left w:val="nil"/>
              <w:bottom w:val="single" w:sz="4" w:space="0" w:color="auto"/>
              <w:right w:val="nil"/>
            </w:tcBorders>
            <w:shd w:val="clear" w:color="000000" w:fill="FFFFFF"/>
            <w:noWrap/>
            <w:vAlign w:val="bottom"/>
            <w:hideMark/>
          </w:tcPr>
          <w:p w14:paraId="1E482CB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single" w:sz="4" w:space="0" w:color="auto"/>
              <w:right w:val="nil"/>
            </w:tcBorders>
            <w:shd w:val="clear" w:color="000000" w:fill="FFFFFF"/>
            <w:noWrap/>
            <w:vAlign w:val="bottom"/>
            <w:hideMark/>
          </w:tcPr>
          <w:p w14:paraId="51E7C663"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43B2AB5E"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3865021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160E67D4"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0156183F" w14:textId="77777777" w:rsidTr="006349D7">
        <w:trPr>
          <w:trHeight w:val="255"/>
        </w:trPr>
        <w:tc>
          <w:tcPr>
            <w:tcW w:w="3686" w:type="dxa"/>
            <w:tcBorders>
              <w:top w:val="nil"/>
              <w:left w:val="nil"/>
              <w:bottom w:val="nil"/>
              <w:right w:val="nil"/>
            </w:tcBorders>
            <w:shd w:val="clear" w:color="000000" w:fill="FFFFFF"/>
            <w:noWrap/>
            <w:vAlign w:val="bottom"/>
            <w:hideMark/>
          </w:tcPr>
          <w:p w14:paraId="631D4BAA"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275" w:type="dxa"/>
            <w:tcBorders>
              <w:top w:val="nil"/>
              <w:left w:val="nil"/>
              <w:bottom w:val="nil"/>
              <w:right w:val="nil"/>
            </w:tcBorders>
            <w:shd w:val="clear" w:color="000000" w:fill="FFFFFF"/>
            <w:noWrap/>
            <w:vAlign w:val="bottom"/>
            <w:hideMark/>
          </w:tcPr>
          <w:p w14:paraId="75ECA2C7" w14:textId="77777777" w:rsidR="002D7293" w:rsidRPr="00352C6B" w:rsidRDefault="002D7293" w:rsidP="006349D7">
            <w:pPr>
              <w:jc w:val="center"/>
              <w:rPr>
                <w:rFonts w:cs="Arial"/>
                <w:color w:val="000000"/>
                <w:sz w:val="18"/>
                <w:szCs w:val="18"/>
                <w:lang w:val="en-GB" w:eastAsia="en-GB"/>
              </w:rPr>
            </w:pPr>
            <w:r w:rsidRPr="00352C6B">
              <w:rPr>
                <w:rFonts w:cs="Arial"/>
                <w:color w:val="000000"/>
                <w:sz w:val="18"/>
                <w:szCs w:val="18"/>
                <w:lang w:val="en-GB" w:eastAsia="en-GB"/>
              </w:rPr>
              <w:t> </w:t>
            </w:r>
          </w:p>
        </w:tc>
        <w:tc>
          <w:tcPr>
            <w:tcW w:w="267" w:type="dxa"/>
            <w:tcBorders>
              <w:top w:val="nil"/>
              <w:left w:val="nil"/>
              <w:bottom w:val="nil"/>
              <w:right w:val="nil"/>
            </w:tcBorders>
            <w:shd w:val="clear" w:color="000000" w:fill="FFFFFF"/>
            <w:noWrap/>
            <w:vAlign w:val="bottom"/>
            <w:hideMark/>
          </w:tcPr>
          <w:p w14:paraId="122DAD53"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1841" w:type="dxa"/>
            <w:tcBorders>
              <w:top w:val="nil"/>
              <w:left w:val="nil"/>
              <w:bottom w:val="nil"/>
              <w:right w:val="nil"/>
            </w:tcBorders>
            <w:shd w:val="clear" w:color="000000" w:fill="FFFFFF"/>
            <w:noWrap/>
            <w:vAlign w:val="bottom"/>
            <w:hideMark/>
          </w:tcPr>
          <w:p w14:paraId="7D5EF488"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c>
          <w:tcPr>
            <w:tcW w:w="2712" w:type="dxa"/>
            <w:tcBorders>
              <w:top w:val="nil"/>
              <w:left w:val="nil"/>
              <w:bottom w:val="nil"/>
              <w:right w:val="nil"/>
            </w:tcBorders>
            <w:shd w:val="clear" w:color="000000" w:fill="FFFFFF"/>
            <w:noWrap/>
            <w:vAlign w:val="bottom"/>
            <w:hideMark/>
          </w:tcPr>
          <w:p w14:paraId="3ED80C21"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41B48408" w14:textId="77777777" w:rsidTr="006349D7">
        <w:trPr>
          <w:trHeight w:val="255"/>
        </w:trPr>
        <w:tc>
          <w:tcPr>
            <w:tcW w:w="9781" w:type="dxa"/>
            <w:gridSpan w:val="5"/>
            <w:tcBorders>
              <w:top w:val="nil"/>
              <w:left w:val="nil"/>
              <w:bottom w:val="nil"/>
              <w:right w:val="nil"/>
            </w:tcBorders>
            <w:shd w:val="clear" w:color="000000" w:fill="FFFFFF"/>
            <w:noWrap/>
            <w:vAlign w:val="bottom"/>
            <w:hideMark/>
          </w:tcPr>
          <w:p w14:paraId="5EECDC96"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(i) The movement in the Net Asset Value per Share over a Period equals Share Class Return</w:t>
            </w:r>
          </w:p>
          <w:p w14:paraId="3FD74D12"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r w:rsidR="002D7293" w:rsidRPr="00352C6B" w14:paraId="667CFAD8" w14:textId="77777777" w:rsidTr="006349D7">
        <w:trPr>
          <w:trHeight w:val="255"/>
        </w:trPr>
        <w:tc>
          <w:tcPr>
            <w:tcW w:w="9781" w:type="dxa"/>
            <w:gridSpan w:val="5"/>
            <w:tcBorders>
              <w:top w:val="nil"/>
              <w:left w:val="nil"/>
              <w:bottom w:val="nil"/>
              <w:right w:val="nil"/>
            </w:tcBorders>
            <w:shd w:val="clear" w:color="000000" w:fill="FFFFFF"/>
            <w:noWrap/>
            <w:vAlign w:val="bottom"/>
            <w:hideMark/>
          </w:tcPr>
          <w:p w14:paraId="4539EE3D" w14:textId="33B36F5B"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xml:space="preserve">(ii) The Benchmark for the Pacific </w:t>
            </w:r>
            <w:r>
              <w:rPr>
                <w:rFonts w:cs="Arial"/>
                <w:color w:val="000000"/>
                <w:sz w:val="18"/>
                <w:szCs w:val="18"/>
                <w:lang w:val="en-GB" w:eastAsia="en-GB"/>
              </w:rPr>
              <w:t xml:space="preserve">All Cap </w:t>
            </w:r>
            <w:r w:rsidRPr="00352C6B">
              <w:rPr>
                <w:rFonts w:cs="Arial"/>
                <w:color w:val="000000"/>
                <w:sz w:val="18"/>
                <w:szCs w:val="18"/>
                <w:lang w:val="en-GB" w:eastAsia="en-GB"/>
              </w:rPr>
              <w:t xml:space="preserve">Opportunities Fund is the </w:t>
            </w:r>
            <w:r>
              <w:rPr>
                <w:rFonts w:cs="Arial"/>
                <w:color w:val="000000"/>
                <w:sz w:val="18"/>
                <w:szCs w:val="18"/>
                <w:lang w:val="en-GB" w:eastAsia="en-GB"/>
              </w:rPr>
              <w:t>MSCI World</w:t>
            </w:r>
            <w:r w:rsidR="00BC1E71">
              <w:rPr>
                <w:rFonts w:cs="Arial"/>
                <w:color w:val="000000"/>
                <w:sz w:val="18"/>
                <w:szCs w:val="18"/>
                <w:lang w:val="en-GB" w:eastAsia="en-GB"/>
              </w:rPr>
              <w:t xml:space="preserve"> All Cap</w:t>
            </w:r>
            <w:r>
              <w:rPr>
                <w:rFonts w:cs="Arial"/>
                <w:color w:val="000000"/>
                <w:sz w:val="18"/>
                <w:szCs w:val="18"/>
                <w:lang w:val="en-GB" w:eastAsia="en-GB"/>
              </w:rPr>
              <w:t xml:space="preserve"> </w:t>
            </w:r>
            <w:r w:rsidRPr="00352C6B">
              <w:rPr>
                <w:rFonts w:cs="Arial"/>
                <w:color w:val="000000"/>
                <w:sz w:val="18"/>
                <w:szCs w:val="18"/>
                <w:lang w:val="en-GB" w:eastAsia="en-GB"/>
              </w:rPr>
              <w:t>Index</w:t>
            </w:r>
          </w:p>
          <w:p w14:paraId="5A757100" w14:textId="77777777" w:rsidR="002D7293" w:rsidRPr="00352C6B" w:rsidRDefault="002D7293" w:rsidP="006349D7">
            <w:pPr>
              <w:jc w:val="left"/>
              <w:rPr>
                <w:rFonts w:cs="Arial"/>
                <w:color w:val="000000"/>
                <w:sz w:val="18"/>
                <w:szCs w:val="18"/>
                <w:lang w:val="en-GB" w:eastAsia="en-GB"/>
              </w:rPr>
            </w:pPr>
            <w:r w:rsidRPr="00352C6B">
              <w:rPr>
                <w:rFonts w:cs="Arial"/>
                <w:color w:val="000000"/>
                <w:sz w:val="18"/>
                <w:szCs w:val="18"/>
                <w:lang w:val="en-GB" w:eastAsia="en-GB"/>
              </w:rPr>
              <w:t> </w:t>
            </w:r>
          </w:p>
        </w:tc>
      </w:tr>
    </w:tbl>
    <w:p w14:paraId="63B0153F" w14:textId="77777777" w:rsidR="002D7293" w:rsidRPr="00352C6B" w:rsidRDefault="002D7293" w:rsidP="002D7293">
      <w:pPr>
        <w:rPr>
          <w:rFonts w:cs="Arial"/>
          <w:sz w:val="18"/>
          <w:szCs w:val="18"/>
        </w:rPr>
      </w:pPr>
    </w:p>
    <w:p w14:paraId="752BF77D" w14:textId="77777777" w:rsidR="002D7293" w:rsidRPr="00352C6B" w:rsidRDefault="002D7293" w:rsidP="002D7293">
      <w:pPr>
        <w:rPr>
          <w:rFonts w:cs="Arial"/>
          <w:sz w:val="18"/>
          <w:szCs w:val="18"/>
        </w:rPr>
      </w:pPr>
    </w:p>
    <w:p w14:paraId="7612E008" w14:textId="77777777" w:rsidR="0028666F" w:rsidRPr="00E93830" w:rsidRDefault="0028666F" w:rsidP="0028666F">
      <w:pPr>
        <w:rPr>
          <w:sz w:val="18"/>
          <w:szCs w:val="18"/>
        </w:rPr>
      </w:pPr>
    </w:p>
    <w:p w14:paraId="354EFAA1" w14:textId="77777777" w:rsidR="004D0067" w:rsidRDefault="004D0067" w:rsidP="00C24C6A">
      <w:pPr>
        <w:pStyle w:val="BodyText"/>
        <w:jc w:val="center"/>
        <w:rPr>
          <w:b/>
          <w:sz w:val="26"/>
        </w:rPr>
        <w:sectPr w:rsidR="004D0067" w:rsidSect="00CA2FE7">
          <w:footnotePr>
            <w:numRestart w:val="eachSect"/>
          </w:footnotePr>
          <w:endnotePr>
            <w:numFmt w:val="decimal"/>
          </w:endnotePr>
          <w:pgSz w:w="11908" w:h="16833" w:code="9"/>
          <w:pgMar w:top="1417" w:right="1418" w:bottom="1417" w:left="1418" w:header="709" w:footer="709" w:gutter="0"/>
          <w:cols w:space="720"/>
          <w:docGrid w:linePitch="272"/>
        </w:sectPr>
      </w:pPr>
    </w:p>
    <w:p w14:paraId="1B5BF559" w14:textId="7BEBB580" w:rsidR="00C24C6A" w:rsidRDefault="004D0067" w:rsidP="00C24C6A">
      <w:pPr>
        <w:pStyle w:val="BodyText"/>
        <w:jc w:val="center"/>
        <w:rPr>
          <w:b/>
          <w:sz w:val="26"/>
        </w:rPr>
      </w:pPr>
      <w:r>
        <w:rPr>
          <w:b/>
          <w:sz w:val="26"/>
        </w:rPr>
        <w:lastRenderedPageBreak/>
        <w:t>Appendix 2</w:t>
      </w:r>
    </w:p>
    <w:p w14:paraId="33D80690" w14:textId="77777777" w:rsidR="00422134" w:rsidRDefault="00422134" w:rsidP="00C24C6A">
      <w:pPr>
        <w:pStyle w:val="BodyText"/>
        <w:jc w:val="center"/>
        <w:rPr>
          <w:b/>
          <w:sz w:val="26"/>
        </w:rPr>
        <w:sectPr w:rsidR="00422134" w:rsidSect="004D0067">
          <w:footnotePr>
            <w:numRestart w:val="eachSect"/>
          </w:footnotePr>
          <w:endnotePr>
            <w:numFmt w:val="decimal"/>
          </w:endnotePr>
          <w:pgSz w:w="11908" w:h="16833" w:code="9"/>
          <w:pgMar w:top="1417" w:right="1418" w:bottom="1417" w:left="1418" w:header="709" w:footer="709" w:gutter="0"/>
          <w:cols w:space="720"/>
          <w:docGrid w:linePitch="272"/>
        </w:sectPr>
      </w:pPr>
    </w:p>
    <w:p w14:paraId="1C9EEF68" w14:textId="1F2A464F" w:rsidR="004D0067" w:rsidRDefault="004D0067" w:rsidP="00C24C6A">
      <w:pPr>
        <w:pStyle w:val="BodyText"/>
        <w:jc w:val="center"/>
        <w:rPr>
          <w:b/>
          <w:sz w:val="26"/>
        </w:rPr>
      </w:pPr>
    </w:p>
    <w:p w14:paraId="136F7A70" w14:textId="3378326D" w:rsidR="004D0067" w:rsidRDefault="004D0067" w:rsidP="00C24C6A">
      <w:pPr>
        <w:pStyle w:val="BodyText"/>
        <w:jc w:val="center"/>
        <w:rPr>
          <w:b/>
          <w:sz w:val="26"/>
        </w:rPr>
      </w:pPr>
      <w:r>
        <w:rPr>
          <w:b/>
          <w:sz w:val="26"/>
        </w:rPr>
        <w:t xml:space="preserve">Sustainability Annex </w:t>
      </w:r>
    </w:p>
    <w:p w14:paraId="238E4FCD" w14:textId="3F19BD08" w:rsidR="009600CF" w:rsidRPr="00085689" w:rsidRDefault="009600CF" w:rsidP="009600CF">
      <w:pPr>
        <w:pStyle w:val="BodyText"/>
        <w:spacing w:after="480"/>
        <w:ind w:right="424"/>
        <w:rPr>
          <w:b/>
        </w:rPr>
      </w:pPr>
    </w:p>
    <w:tbl>
      <w:tblPr>
        <w:tblStyle w:val="TableGrid"/>
        <w:tblW w:w="5151"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75"/>
        <w:gridCol w:w="1719"/>
        <w:gridCol w:w="156"/>
        <w:gridCol w:w="14"/>
        <w:gridCol w:w="68"/>
        <w:gridCol w:w="53"/>
        <w:gridCol w:w="60"/>
        <w:gridCol w:w="42"/>
        <w:gridCol w:w="9"/>
        <w:gridCol w:w="236"/>
        <w:gridCol w:w="51"/>
        <w:gridCol w:w="27"/>
        <w:gridCol w:w="150"/>
        <w:gridCol w:w="199"/>
        <w:gridCol w:w="51"/>
        <w:gridCol w:w="107"/>
        <w:gridCol w:w="284"/>
        <w:gridCol w:w="281"/>
        <w:gridCol w:w="2006"/>
        <w:gridCol w:w="523"/>
        <w:gridCol w:w="512"/>
        <w:gridCol w:w="3611"/>
        <w:gridCol w:w="83"/>
        <w:gridCol w:w="260"/>
      </w:tblGrid>
      <w:tr w:rsidR="009600CF" w14:paraId="3E70A698" w14:textId="77777777" w:rsidTr="007B198D">
        <w:trPr>
          <w:gridBefore w:val="1"/>
          <w:wBefore w:w="128" w:type="pct"/>
        </w:trPr>
        <w:tc>
          <w:tcPr>
            <w:tcW w:w="798" w:type="pct"/>
            <w:vMerge w:val="restart"/>
            <w:shd w:val="clear" w:color="auto" w:fill="FFFFFF" w:themeFill="background1"/>
          </w:tcPr>
          <w:p w14:paraId="259837D4" w14:textId="77777777" w:rsidR="009600CF" w:rsidRPr="0058043F" w:rsidRDefault="009600CF" w:rsidP="00F167F7">
            <w:pPr>
              <w:pStyle w:val="BodyText"/>
              <w:jc w:val="left"/>
            </w:pPr>
            <w:r w:rsidRPr="00D80BED">
              <w:rPr>
                <w:b/>
                <w:sz w:val="18"/>
              </w:rPr>
              <w:t>Sustainable investment</w:t>
            </w:r>
            <w:r w:rsidRPr="00D80BED">
              <w:rPr>
                <w:sz w:val="18"/>
              </w:rPr>
              <w:t xml:space="preserve"> means an investment in an economic activity that contributes to an environmental or social objective, provided that the investment does not significantly harm any environmental or social objective and that the investee companies follow good governance practices.</w:t>
            </w:r>
          </w:p>
        </w:tc>
        <w:tc>
          <w:tcPr>
            <w:tcW w:w="105" w:type="pct"/>
            <w:gridSpan w:val="3"/>
            <w:shd w:val="clear" w:color="auto" w:fill="FFFFFF" w:themeFill="background1"/>
          </w:tcPr>
          <w:p w14:paraId="5BA27703" w14:textId="77777777" w:rsidR="009600CF" w:rsidRPr="0058043F" w:rsidRDefault="009600CF" w:rsidP="00F167F7">
            <w:pPr>
              <w:pStyle w:val="BodyText"/>
            </w:pPr>
          </w:p>
        </w:tc>
        <w:tc>
          <w:tcPr>
            <w:tcW w:w="1652" w:type="pct"/>
            <w:gridSpan w:val="14"/>
            <w:shd w:val="clear" w:color="auto" w:fill="FFFFFF" w:themeFill="background1"/>
          </w:tcPr>
          <w:p w14:paraId="02BC945F" w14:textId="1DAADF1A" w:rsidR="009600CF" w:rsidRDefault="009600CF" w:rsidP="00F167F7">
            <w:pPr>
              <w:pStyle w:val="BodyText"/>
            </w:pPr>
            <w:r w:rsidRPr="00DC4F59">
              <w:rPr>
                <w:b/>
              </w:rPr>
              <w:t>Product name</w:t>
            </w:r>
            <w:r w:rsidRPr="0058043F">
              <w:t xml:space="preserve">: </w:t>
            </w:r>
            <w:r w:rsidRPr="00911175">
              <w:t xml:space="preserve">Pacific </w:t>
            </w:r>
            <w:r w:rsidR="00746B2B">
              <w:t xml:space="preserve">Global </w:t>
            </w:r>
            <w:r w:rsidR="00ED04FA">
              <w:t xml:space="preserve">All </w:t>
            </w:r>
            <w:r w:rsidR="00746B2B">
              <w:t>Cap Opportunities</w:t>
            </w:r>
            <w:r w:rsidR="00343071">
              <w:t xml:space="preserve"> Fund</w:t>
            </w:r>
          </w:p>
        </w:tc>
        <w:tc>
          <w:tcPr>
            <w:tcW w:w="2318" w:type="pct"/>
            <w:gridSpan w:val="5"/>
            <w:shd w:val="clear" w:color="auto" w:fill="FFFFFF" w:themeFill="background1"/>
          </w:tcPr>
          <w:p w14:paraId="1794B1AB" w14:textId="77777777" w:rsidR="009600CF" w:rsidRDefault="009600CF" w:rsidP="00F167F7">
            <w:pPr>
              <w:pStyle w:val="BodyText"/>
              <w:jc w:val="right"/>
            </w:pPr>
            <w:r w:rsidRPr="00DC4F59">
              <w:rPr>
                <w:b/>
              </w:rPr>
              <w:t>Legal entity identifier</w:t>
            </w:r>
            <w:r w:rsidRPr="0058043F">
              <w:t xml:space="preserve">: </w:t>
            </w:r>
            <w:r w:rsidRPr="00F947CB">
              <w:rPr>
                <w:noProof/>
              </w:rPr>
              <w:t>213800LPV4GVQWFRDS98</w:t>
            </w:r>
          </w:p>
        </w:tc>
      </w:tr>
      <w:tr w:rsidR="009600CF" w14:paraId="294C8D62" w14:textId="77777777" w:rsidTr="007B198D">
        <w:trPr>
          <w:gridBefore w:val="1"/>
          <w:wBefore w:w="128" w:type="pct"/>
          <w:trHeight w:val="911"/>
        </w:trPr>
        <w:tc>
          <w:tcPr>
            <w:tcW w:w="798" w:type="pct"/>
            <w:vMerge/>
            <w:shd w:val="clear" w:color="auto" w:fill="FFFFFF" w:themeFill="background1"/>
          </w:tcPr>
          <w:p w14:paraId="02B3EBEA" w14:textId="77777777" w:rsidR="009600CF" w:rsidRPr="0058043F" w:rsidRDefault="009600CF" w:rsidP="00F167F7">
            <w:pPr>
              <w:pStyle w:val="BodyText"/>
              <w:jc w:val="left"/>
            </w:pPr>
          </w:p>
        </w:tc>
        <w:tc>
          <w:tcPr>
            <w:tcW w:w="105" w:type="pct"/>
            <w:gridSpan w:val="3"/>
            <w:shd w:val="clear" w:color="auto" w:fill="FFFFFF" w:themeFill="background1"/>
          </w:tcPr>
          <w:p w14:paraId="4B6E298D" w14:textId="77777777" w:rsidR="009600CF" w:rsidRPr="00C66F2F" w:rsidRDefault="009600CF" w:rsidP="00F167F7">
            <w:pPr>
              <w:pStyle w:val="BodyText"/>
              <w:jc w:val="center"/>
              <w:rPr>
                <w:color w:val="00B050"/>
                <w:sz w:val="34"/>
                <w:szCs w:val="36"/>
              </w:rPr>
            </w:pPr>
          </w:p>
        </w:tc>
        <w:tc>
          <w:tcPr>
            <w:tcW w:w="3969" w:type="pct"/>
            <w:gridSpan w:val="19"/>
            <w:shd w:val="clear" w:color="auto" w:fill="FFFFFF" w:themeFill="background1"/>
            <w:vAlign w:val="center"/>
          </w:tcPr>
          <w:p w14:paraId="5C3CF33F" w14:textId="77777777" w:rsidR="009600CF" w:rsidRPr="00FB3D85" w:rsidRDefault="009600CF" w:rsidP="00F167F7">
            <w:pPr>
              <w:pStyle w:val="BodyText"/>
              <w:jc w:val="center"/>
              <w:rPr>
                <w:b/>
                <w:sz w:val="24"/>
              </w:rPr>
            </w:pPr>
            <w:r w:rsidRPr="00FB3D85">
              <w:rPr>
                <w:b/>
                <w:color w:val="00B050"/>
                <w:sz w:val="24"/>
              </w:rPr>
              <w:t>Environmental and/or social characteristics</w:t>
            </w:r>
          </w:p>
        </w:tc>
      </w:tr>
      <w:tr w:rsidR="009600CF" w14:paraId="2A4B3205" w14:textId="77777777" w:rsidTr="007B198D">
        <w:trPr>
          <w:gridBefore w:val="1"/>
          <w:wBefore w:w="128" w:type="pct"/>
          <w:trHeight w:val="283"/>
        </w:trPr>
        <w:tc>
          <w:tcPr>
            <w:tcW w:w="798" w:type="pct"/>
            <w:vMerge/>
            <w:shd w:val="clear" w:color="auto" w:fill="FFFFFF" w:themeFill="background1"/>
          </w:tcPr>
          <w:p w14:paraId="78D8A5BD" w14:textId="77777777" w:rsidR="009600CF" w:rsidRPr="006661D3" w:rsidRDefault="009600CF" w:rsidP="00F167F7">
            <w:pPr>
              <w:pStyle w:val="BodyText"/>
              <w:jc w:val="left"/>
              <w:rPr>
                <w:b/>
              </w:rPr>
            </w:pPr>
          </w:p>
        </w:tc>
        <w:tc>
          <w:tcPr>
            <w:tcW w:w="105" w:type="pct"/>
            <w:gridSpan w:val="3"/>
            <w:shd w:val="clear" w:color="auto" w:fill="FFFFFF" w:themeFill="background1"/>
          </w:tcPr>
          <w:p w14:paraId="2A5B4C42" w14:textId="77777777" w:rsidR="009600CF" w:rsidRPr="003C0671" w:rsidRDefault="009600CF" w:rsidP="00F167F7">
            <w:pPr>
              <w:pStyle w:val="BodyText"/>
              <w:jc w:val="left"/>
              <w:rPr>
                <w:b/>
              </w:rPr>
            </w:pPr>
          </w:p>
        </w:tc>
        <w:tc>
          <w:tcPr>
            <w:tcW w:w="3969" w:type="pct"/>
            <w:gridSpan w:val="19"/>
            <w:shd w:val="clear" w:color="auto" w:fill="FFFFFF" w:themeFill="background1"/>
          </w:tcPr>
          <w:p w14:paraId="0B89388D" w14:textId="77777777" w:rsidR="009600CF" w:rsidRPr="0058043F" w:rsidRDefault="009600CF" w:rsidP="00F167F7">
            <w:pPr>
              <w:pStyle w:val="BodyText"/>
              <w:jc w:val="left"/>
            </w:pPr>
            <w:r w:rsidRPr="003C0671">
              <w:rPr>
                <w:b/>
              </w:rPr>
              <w:t>Does this financial product have a sustainable investment objective?</w:t>
            </w:r>
            <w:r w:rsidRPr="003C0671">
              <w:t xml:space="preserve"> </w:t>
            </w:r>
          </w:p>
        </w:tc>
      </w:tr>
      <w:tr w:rsidR="009600CF" w14:paraId="77C2A794" w14:textId="77777777" w:rsidTr="007B198D">
        <w:trPr>
          <w:gridBefore w:val="1"/>
          <w:wBefore w:w="128" w:type="pct"/>
          <w:trHeight w:val="227"/>
        </w:trPr>
        <w:tc>
          <w:tcPr>
            <w:tcW w:w="798" w:type="pct"/>
            <w:vMerge/>
            <w:shd w:val="clear" w:color="auto" w:fill="FFFFFF" w:themeFill="background1"/>
          </w:tcPr>
          <w:p w14:paraId="21CAB785" w14:textId="77777777" w:rsidR="009600CF" w:rsidRPr="006661D3" w:rsidRDefault="009600CF" w:rsidP="00F167F7">
            <w:pPr>
              <w:pStyle w:val="BodyText"/>
              <w:jc w:val="left"/>
              <w:rPr>
                <w:b/>
              </w:rPr>
            </w:pPr>
          </w:p>
        </w:tc>
        <w:tc>
          <w:tcPr>
            <w:tcW w:w="105" w:type="pct"/>
            <w:gridSpan w:val="3"/>
            <w:shd w:val="clear" w:color="auto" w:fill="FFFFFF" w:themeFill="background1"/>
          </w:tcPr>
          <w:p w14:paraId="78EF2AA7" w14:textId="77777777" w:rsidR="009600CF" w:rsidRPr="003C0671" w:rsidRDefault="009600CF" w:rsidP="00F167F7">
            <w:pPr>
              <w:pStyle w:val="BodyText"/>
              <w:jc w:val="left"/>
              <w:rPr>
                <w:b/>
              </w:rPr>
            </w:pPr>
          </w:p>
        </w:tc>
        <w:tc>
          <w:tcPr>
            <w:tcW w:w="221" w:type="pct"/>
            <w:gridSpan w:val="7"/>
            <w:shd w:val="clear" w:color="auto" w:fill="FFFFFF" w:themeFill="background1"/>
            <w:vAlign w:val="bottom"/>
          </w:tcPr>
          <w:p w14:paraId="0A44317F" w14:textId="77777777" w:rsidR="009600CF" w:rsidRPr="00991AF7" w:rsidRDefault="009600CF" w:rsidP="00F167F7">
            <w:pPr>
              <w:pStyle w:val="BodyText"/>
              <w:ind w:right="130"/>
              <w:jc w:val="left"/>
              <w:rPr>
                <w:b/>
                <w:sz w:val="18"/>
                <w:szCs w:val="18"/>
              </w:rPr>
            </w:pPr>
            <w:r w:rsidRPr="00991AF7">
              <w:rPr>
                <w:rFonts w:ascii="Calibri" w:eastAsia="Calibri" w:hAnsi="Calibri" w:cs="Calibri"/>
                <w:b/>
                <w:noProof/>
                <w:sz w:val="18"/>
                <w:szCs w:val="18"/>
                <w:lang w:val="en-GB" w:eastAsia="en-GB"/>
              </w:rPr>
              <mc:AlternateContent>
                <mc:Choice Requires="wps">
                  <w:drawing>
                    <wp:anchor distT="0" distB="0" distL="114300" distR="114300" simplePos="0" relativeHeight="251666432" behindDoc="0" locked="0" layoutInCell="1" allowOverlap="1" wp14:anchorId="20674E6E" wp14:editId="36389C11">
                      <wp:simplePos x="0" y="0"/>
                      <wp:positionH relativeFrom="column">
                        <wp:posOffset>95885</wp:posOffset>
                      </wp:positionH>
                      <wp:positionV relativeFrom="paragraph">
                        <wp:posOffset>121920</wp:posOffset>
                      </wp:positionV>
                      <wp:extent cx="107950" cy="107950"/>
                      <wp:effectExtent l="0" t="0" r="6350" b="6350"/>
                      <wp:wrapNone/>
                      <wp:docPr id="4" name="Oval 4"/>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24D7E" id="Oval 4" o:spid="_x0000_s1026" style="position:absolute;margin-left:7.55pt;margin-top:9.6pt;width: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" fillcolor="#5ab05d" stroked="f" strokeweight="1pt">
                      <v:stroke joinstyle="miter"/>
                    </v:oval>
                  </w:pict>
                </mc:Fallback>
              </mc:AlternateContent>
            </w:r>
            <w:r w:rsidRPr="00991AF7">
              <w:rPr>
                <w:rFonts w:ascii="Calibri" w:eastAsia="Calibri" w:hAnsi="Calibri" w:cs="Calibri"/>
                <w:b/>
                <w:noProof/>
                <w:sz w:val="18"/>
                <w:szCs w:val="18"/>
                <w:lang w:val="en-GB" w:eastAsia="en-GB"/>
              </w:rPr>
              <mc:AlternateContent>
                <mc:Choice Requires="wps">
                  <w:drawing>
                    <wp:anchor distT="0" distB="0" distL="114300" distR="114300" simplePos="0" relativeHeight="251667456" behindDoc="0" locked="0" layoutInCell="1" allowOverlap="1" wp14:anchorId="34C8044E" wp14:editId="7859ECCA">
                      <wp:simplePos x="0" y="0"/>
                      <wp:positionH relativeFrom="column">
                        <wp:posOffset>-52705</wp:posOffset>
                      </wp:positionH>
                      <wp:positionV relativeFrom="paragraph">
                        <wp:posOffset>121920</wp:posOffset>
                      </wp:positionV>
                      <wp:extent cx="107950" cy="107950"/>
                      <wp:effectExtent l="0" t="0" r="6350" b="6350"/>
                      <wp:wrapNone/>
                      <wp:docPr id="8" name="Oval 8"/>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D8D61" id="Oval 8" o:spid="_x0000_s1026" style="position:absolute;margin-left:-4.15pt;margin-top:9.6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" fillcolor="#5ab05d" stroked="f" strokeweight="1pt">
                      <v:stroke joinstyle="miter"/>
                    </v:oval>
                  </w:pict>
                </mc:Fallback>
              </mc:AlternateContent>
            </w:r>
          </w:p>
          <w:p w14:paraId="752B8D1B" w14:textId="77777777" w:rsidR="009600CF" w:rsidRPr="00991AF7" w:rsidRDefault="009600CF" w:rsidP="00F167F7">
            <w:pPr>
              <w:pStyle w:val="BodyText"/>
              <w:ind w:right="130"/>
              <w:jc w:val="left"/>
              <w:rPr>
                <w:b/>
                <w:sz w:val="18"/>
                <w:szCs w:val="18"/>
              </w:rPr>
            </w:pPr>
          </w:p>
        </w:tc>
        <w:sdt>
          <w:sdtPr>
            <w:rPr>
              <w:b/>
              <w:sz w:val="18"/>
              <w:szCs w:val="18"/>
            </w:rPr>
            <w:id w:val="14818724"/>
            <w14:checkbox>
              <w14:checked w14:val="0"/>
              <w14:checkedState w14:val="00FC" w14:font="Wingdings"/>
              <w14:uncheckedState w14:val="2610" w14:font="MS Gothic"/>
            </w14:checkbox>
          </w:sdtPr>
          <w:sdtEndPr/>
          <w:sdtContent>
            <w:tc>
              <w:tcPr>
                <w:tcW w:w="237" w:type="pct"/>
                <w:gridSpan w:val="4"/>
                <w:shd w:val="clear" w:color="auto" w:fill="FFFFFF" w:themeFill="background1"/>
                <w:vAlign w:val="bottom"/>
              </w:tcPr>
              <w:p w14:paraId="22D138F3" w14:textId="77777777" w:rsidR="009600CF" w:rsidRPr="00991AF7" w:rsidRDefault="009600CF" w:rsidP="00F167F7">
                <w:pPr>
                  <w:pStyle w:val="BodyText"/>
                  <w:ind w:right="130"/>
                  <w:jc w:val="left"/>
                  <w:rPr>
                    <w:b/>
                    <w:sz w:val="18"/>
                    <w:szCs w:val="18"/>
                  </w:rPr>
                </w:pPr>
                <w:r w:rsidRPr="00991AF7">
                  <w:rPr>
                    <w:rFonts w:ascii="MS Gothic" w:eastAsia="MS Gothic" w:hAnsi="MS Gothic" w:hint="eastAsia"/>
                    <w:b/>
                    <w:sz w:val="18"/>
                    <w:szCs w:val="18"/>
                  </w:rPr>
                  <w:t>☐</w:t>
                </w:r>
              </w:p>
            </w:tc>
          </w:sdtContent>
        </w:sdt>
        <w:tc>
          <w:tcPr>
            <w:tcW w:w="1194" w:type="pct"/>
            <w:gridSpan w:val="3"/>
            <w:shd w:val="clear" w:color="auto" w:fill="FFFFFF" w:themeFill="background1"/>
            <w:vAlign w:val="bottom"/>
          </w:tcPr>
          <w:p w14:paraId="4F828ABB" w14:textId="77777777" w:rsidR="009600CF" w:rsidRPr="00991AF7" w:rsidRDefault="009600CF" w:rsidP="00F167F7">
            <w:pPr>
              <w:pStyle w:val="BodyText"/>
              <w:ind w:right="130"/>
              <w:jc w:val="left"/>
              <w:rPr>
                <w:b/>
                <w:sz w:val="18"/>
                <w:szCs w:val="18"/>
              </w:rPr>
            </w:pPr>
            <w:r w:rsidRPr="00991AF7">
              <w:rPr>
                <w:b/>
                <w:sz w:val="18"/>
                <w:szCs w:val="18"/>
              </w:rPr>
              <w:t xml:space="preserve">Yes  </w:t>
            </w:r>
          </w:p>
        </w:tc>
        <w:tc>
          <w:tcPr>
            <w:tcW w:w="243" w:type="pct"/>
            <w:shd w:val="clear" w:color="auto" w:fill="FFFFFF" w:themeFill="background1"/>
            <w:vAlign w:val="bottom"/>
          </w:tcPr>
          <w:p w14:paraId="5E111A93" w14:textId="77777777" w:rsidR="009600CF" w:rsidRPr="00991AF7" w:rsidRDefault="009600CF" w:rsidP="00F167F7">
            <w:pPr>
              <w:pStyle w:val="BodyText"/>
              <w:ind w:right="130"/>
              <w:jc w:val="left"/>
              <w:rPr>
                <w:b/>
                <w:sz w:val="18"/>
                <w:szCs w:val="18"/>
              </w:rPr>
            </w:pPr>
            <w:r w:rsidRPr="00991AF7">
              <w:rPr>
                <w:rFonts w:ascii="Calibri" w:eastAsia="Calibri" w:hAnsi="Calibri" w:cs="Calibri"/>
                <w:b/>
                <w:noProof/>
                <w:sz w:val="18"/>
                <w:szCs w:val="18"/>
                <w:lang w:val="en-GB" w:eastAsia="en-GB"/>
              </w:rPr>
              <mc:AlternateContent>
                <mc:Choice Requires="wps">
                  <w:drawing>
                    <wp:anchor distT="0" distB="0" distL="114300" distR="114300" simplePos="0" relativeHeight="251664384" behindDoc="0" locked="1" layoutInCell="1" allowOverlap="1" wp14:anchorId="2CDDF406" wp14:editId="59E760B8">
                      <wp:simplePos x="0" y="0"/>
                      <wp:positionH relativeFrom="column">
                        <wp:posOffset>130810</wp:posOffset>
                      </wp:positionH>
                      <wp:positionV relativeFrom="page">
                        <wp:posOffset>121920</wp:posOffset>
                      </wp:positionV>
                      <wp:extent cx="107950" cy="107950"/>
                      <wp:effectExtent l="0" t="0" r="6350" b="6350"/>
                      <wp:wrapNone/>
                      <wp:docPr id="6" name="Oval 6"/>
                      <wp:cNvGraphicFramePr/>
                      <a:graphic xmlns:a="http://schemas.openxmlformats.org/drawingml/2006/main">
                        <a:graphicData uri="http://schemas.microsoft.com/office/word/2010/wordprocessingShape">
                          <wps:wsp>
                            <wps:cNvSpPr/>
                            <wps:spPr>
                              <a:xfrm flipV="1">
                                <a:off x="0" y="0"/>
                                <a:ext cx="107950" cy="107950"/>
                              </a:xfrm>
                              <a:prstGeom prst="ellipse">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8B6A5" id="Oval 6" o:spid="_x0000_s1026" style="position:absolute;margin-left:10.3pt;margin-top:9.6pt;width:8.5pt;height: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" fillcolor="white [3212]" stroked="f" strokeweight="1pt">
                      <v:stroke joinstyle="miter"/>
                      <w10:wrap anchory="page"/>
                      <w10:anchorlock/>
                    </v:oval>
                  </w:pict>
                </mc:Fallback>
              </mc:AlternateContent>
            </w:r>
            <w:r w:rsidRPr="00991AF7">
              <w:rPr>
                <w:rFonts w:ascii="Calibri" w:eastAsia="Calibri" w:hAnsi="Calibri" w:cs="Calibri"/>
                <w:b/>
                <w:noProof/>
                <w:sz w:val="18"/>
                <w:szCs w:val="18"/>
                <w:lang w:val="en-GB" w:eastAsia="en-GB"/>
              </w:rPr>
              <mc:AlternateContent>
                <mc:Choice Requires="wps">
                  <w:drawing>
                    <wp:anchor distT="0" distB="0" distL="114300" distR="114300" simplePos="0" relativeHeight="251663360" behindDoc="0" locked="1" layoutInCell="1" allowOverlap="1" wp14:anchorId="1C766B2E" wp14:editId="05FA929D">
                      <wp:simplePos x="0" y="0"/>
                      <wp:positionH relativeFrom="column">
                        <wp:posOffset>-26670</wp:posOffset>
                      </wp:positionH>
                      <wp:positionV relativeFrom="page">
                        <wp:posOffset>122555</wp:posOffset>
                      </wp:positionV>
                      <wp:extent cx="108000" cy="108000"/>
                      <wp:effectExtent l="0" t="0" r="6350" b="6350"/>
                      <wp:wrapNone/>
                      <wp:docPr id="5" name="Oval 5"/>
                      <wp:cNvGraphicFramePr/>
                      <a:graphic xmlns:a="http://schemas.openxmlformats.org/drawingml/2006/main">
                        <a:graphicData uri="http://schemas.microsoft.com/office/word/2010/wordprocessingShape">
                          <wps:wsp>
                            <wps:cNvSpPr/>
                            <wps:spPr>
                              <a:xfrm flipV="1">
                                <a:off x="0" y="0"/>
                                <a:ext cx="108000" cy="1080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90B2F" id="Oval 5" o:spid="_x0000_s1026" style="position:absolute;margin-left:-2.1pt;margin-top:9.65pt;width:8.5pt;height: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" fillcolor="#5ab05d" stroked="f" strokeweight="1pt">
                      <v:stroke joinstyle="miter"/>
                      <w10:wrap anchory="page"/>
                      <w10:anchorlock/>
                    </v:oval>
                  </w:pict>
                </mc:Fallback>
              </mc:AlternateContent>
            </w:r>
          </w:p>
        </w:tc>
        <w:sdt>
          <w:sdtPr>
            <w:rPr>
              <w:b/>
              <w:sz w:val="18"/>
              <w:szCs w:val="18"/>
            </w:rPr>
            <w:id w:val="-316421444"/>
            <w14:checkbox>
              <w14:checked w14:val="1"/>
              <w14:checkedState w14:val="2612" w14:font="MS Gothic"/>
              <w14:uncheckedState w14:val="2610" w14:font="MS Gothic"/>
            </w14:checkbox>
          </w:sdtPr>
          <w:sdtEndPr/>
          <w:sdtContent>
            <w:tc>
              <w:tcPr>
                <w:tcW w:w="238" w:type="pct"/>
                <w:shd w:val="clear" w:color="auto" w:fill="FFFFFF" w:themeFill="background1"/>
                <w:vAlign w:val="bottom"/>
              </w:tcPr>
              <w:p w14:paraId="51354FCB" w14:textId="77777777" w:rsidR="009600CF" w:rsidRPr="00991AF7" w:rsidRDefault="009600CF" w:rsidP="00F167F7">
                <w:pPr>
                  <w:pStyle w:val="BodyText"/>
                  <w:ind w:right="130"/>
                  <w:jc w:val="left"/>
                  <w:rPr>
                    <w:b/>
                    <w:sz w:val="18"/>
                    <w:szCs w:val="18"/>
                  </w:rPr>
                </w:pPr>
                <w:r>
                  <w:rPr>
                    <w:rFonts w:ascii="MS Gothic" w:eastAsia="MS Gothic" w:hAnsi="MS Gothic" w:hint="eastAsia"/>
                    <w:b/>
                    <w:sz w:val="18"/>
                    <w:szCs w:val="18"/>
                  </w:rPr>
                  <w:t>☒</w:t>
                </w:r>
              </w:p>
            </w:tc>
          </w:sdtContent>
        </w:sdt>
        <w:tc>
          <w:tcPr>
            <w:tcW w:w="1837" w:type="pct"/>
            <w:gridSpan w:val="3"/>
            <w:shd w:val="clear" w:color="auto" w:fill="FFFFFF" w:themeFill="background1"/>
            <w:vAlign w:val="bottom"/>
          </w:tcPr>
          <w:p w14:paraId="05430926" w14:textId="77777777" w:rsidR="009600CF" w:rsidRPr="00991AF7" w:rsidRDefault="009600CF" w:rsidP="00F167F7">
            <w:pPr>
              <w:pStyle w:val="BodyText"/>
              <w:ind w:right="130"/>
              <w:jc w:val="left"/>
              <w:rPr>
                <w:b/>
                <w:sz w:val="18"/>
                <w:szCs w:val="18"/>
              </w:rPr>
            </w:pPr>
            <w:r w:rsidRPr="00991AF7">
              <w:rPr>
                <w:b/>
                <w:sz w:val="18"/>
                <w:szCs w:val="18"/>
              </w:rPr>
              <w:t>No</w:t>
            </w:r>
          </w:p>
        </w:tc>
      </w:tr>
      <w:tr w:rsidR="009600CF" w14:paraId="284D3916" w14:textId="77777777" w:rsidTr="007B198D">
        <w:trPr>
          <w:gridBefore w:val="1"/>
          <w:wBefore w:w="128" w:type="pct"/>
          <w:trHeight w:val="57"/>
        </w:trPr>
        <w:tc>
          <w:tcPr>
            <w:tcW w:w="798" w:type="pct"/>
            <w:vMerge/>
            <w:shd w:val="clear" w:color="auto" w:fill="FFFFFF" w:themeFill="background1"/>
          </w:tcPr>
          <w:p w14:paraId="01A3E27D" w14:textId="77777777" w:rsidR="009600CF" w:rsidRPr="006661D3" w:rsidRDefault="009600CF" w:rsidP="00F167F7">
            <w:pPr>
              <w:pStyle w:val="BodyText"/>
              <w:jc w:val="left"/>
              <w:rPr>
                <w:b/>
              </w:rPr>
            </w:pPr>
          </w:p>
        </w:tc>
        <w:tc>
          <w:tcPr>
            <w:tcW w:w="105" w:type="pct"/>
            <w:gridSpan w:val="3"/>
            <w:shd w:val="clear" w:color="auto" w:fill="FFFFFF" w:themeFill="background1"/>
          </w:tcPr>
          <w:p w14:paraId="0734837F" w14:textId="77777777" w:rsidR="009600CF" w:rsidRDefault="009600CF" w:rsidP="00F167F7">
            <w:pPr>
              <w:pStyle w:val="BodyText"/>
            </w:pPr>
          </w:p>
        </w:tc>
        <w:tc>
          <w:tcPr>
            <w:tcW w:w="184" w:type="pct"/>
            <w:gridSpan w:val="5"/>
            <w:shd w:val="clear" w:color="auto" w:fill="FFFFFF" w:themeFill="background1"/>
          </w:tcPr>
          <w:p w14:paraId="04A54774" w14:textId="77777777" w:rsidR="009600CF" w:rsidRDefault="009600CF" w:rsidP="00F167F7">
            <w:pPr>
              <w:pStyle w:val="BodyText"/>
            </w:pPr>
          </w:p>
        </w:tc>
        <w:tc>
          <w:tcPr>
            <w:tcW w:w="1468" w:type="pct"/>
            <w:gridSpan w:val="9"/>
            <w:shd w:val="clear" w:color="auto" w:fill="FFFFFF" w:themeFill="background1"/>
          </w:tcPr>
          <w:p w14:paraId="53B2E17A" w14:textId="77777777" w:rsidR="009600CF" w:rsidRPr="00EA0C51" w:rsidRDefault="009600CF" w:rsidP="00F167F7">
            <w:pPr>
              <w:pStyle w:val="BodyText"/>
              <w:rPr>
                <w:sz w:val="18"/>
              </w:rPr>
            </w:pPr>
          </w:p>
        </w:tc>
        <w:tc>
          <w:tcPr>
            <w:tcW w:w="481" w:type="pct"/>
            <w:gridSpan w:val="2"/>
            <w:shd w:val="clear" w:color="auto" w:fill="FFFFFF" w:themeFill="background1"/>
          </w:tcPr>
          <w:p w14:paraId="1080ED96" w14:textId="77777777" w:rsidR="009600CF" w:rsidRDefault="009600CF" w:rsidP="00F167F7">
            <w:pPr>
              <w:pStyle w:val="BodyText"/>
              <w:jc w:val="right"/>
            </w:pPr>
          </w:p>
        </w:tc>
        <w:tc>
          <w:tcPr>
            <w:tcW w:w="1837" w:type="pct"/>
            <w:gridSpan w:val="3"/>
            <w:shd w:val="clear" w:color="auto" w:fill="FFFFFF" w:themeFill="background1"/>
          </w:tcPr>
          <w:p w14:paraId="3D2750A2" w14:textId="77777777" w:rsidR="009600CF" w:rsidRPr="00EA0C51" w:rsidRDefault="009600CF" w:rsidP="00F167F7">
            <w:pPr>
              <w:pStyle w:val="BodyText"/>
              <w:ind w:right="284"/>
              <w:jc w:val="left"/>
              <w:rPr>
                <w:b/>
                <w:sz w:val="18"/>
              </w:rPr>
            </w:pPr>
          </w:p>
        </w:tc>
      </w:tr>
      <w:tr w:rsidR="009600CF" w14:paraId="02A78952" w14:textId="77777777" w:rsidTr="007B198D">
        <w:trPr>
          <w:gridBefore w:val="1"/>
          <w:wBefore w:w="128" w:type="pct"/>
          <w:trHeight w:val="113"/>
        </w:trPr>
        <w:tc>
          <w:tcPr>
            <w:tcW w:w="798" w:type="pct"/>
            <w:vMerge/>
            <w:shd w:val="clear" w:color="auto" w:fill="FFFFFF" w:themeFill="background1"/>
          </w:tcPr>
          <w:p w14:paraId="3593B97D" w14:textId="77777777" w:rsidR="009600CF" w:rsidRPr="006661D3" w:rsidRDefault="009600CF" w:rsidP="00F167F7">
            <w:pPr>
              <w:pStyle w:val="BodyText"/>
              <w:jc w:val="left"/>
              <w:rPr>
                <w:b/>
              </w:rPr>
            </w:pPr>
          </w:p>
        </w:tc>
        <w:tc>
          <w:tcPr>
            <w:tcW w:w="105" w:type="pct"/>
            <w:gridSpan w:val="3"/>
            <w:shd w:val="clear" w:color="auto" w:fill="FFFFFF" w:themeFill="background1"/>
          </w:tcPr>
          <w:p w14:paraId="7F3FC899" w14:textId="77777777" w:rsidR="009600CF" w:rsidRDefault="009600CF" w:rsidP="00F167F7">
            <w:pPr>
              <w:pStyle w:val="BodyText"/>
            </w:pPr>
          </w:p>
        </w:tc>
        <w:tc>
          <w:tcPr>
            <w:tcW w:w="184" w:type="pct"/>
            <w:gridSpan w:val="5"/>
            <w:shd w:val="clear" w:color="auto" w:fill="FFFFFF" w:themeFill="background1"/>
          </w:tcPr>
          <w:p w14:paraId="4CFF8DC4" w14:textId="77777777" w:rsidR="009600CF" w:rsidRDefault="009600CF" w:rsidP="00F167F7">
            <w:pPr>
              <w:pStyle w:val="BodyText"/>
              <w:rPr>
                <w:sz w:val="18"/>
                <w:szCs w:val="18"/>
              </w:rPr>
            </w:pPr>
          </w:p>
        </w:tc>
        <w:tc>
          <w:tcPr>
            <w:tcW w:w="1468" w:type="pct"/>
            <w:gridSpan w:val="9"/>
            <w:shd w:val="clear" w:color="auto" w:fill="FFFFFF" w:themeFill="background1"/>
          </w:tcPr>
          <w:p w14:paraId="02EE7F89" w14:textId="77777777" w:rsidR="009600CF" w:rsidRPr="007757A2" w:rsidRDefault="009600CF" w:rsidP="00F167F7">
            <w:pPr>
              <w:pStyle w:val="BodyText"/>
              <w:jc w:val="left"/>
              <w:rPr>
                <w:sz w:val="18"/>
                <w:szCs w:val="18"/>
              </w:rPr>
            </w:pPr>
          </w:p>
        </w:tc>
        <w:tc>
          <w:tcPr>
            <w:tcW w:w="243" w:type="pct"/>
            <w:shd w:val="clear" w:color="auto" w:fill="FFFFFF" w:themeFill="background1"/>
          </w:tcPr>
          <w:p w14:paraId="129F4A64" w14:textId="77777777" w:rsidR="009600CF" w:rsidRDefault="009600CF" w:rsidP="00F167F7">
            <w:pPr>
              <w:pStyle w:val="BodyText"/>
              <w:ind w:right="-393"/>
              <w:jc w:val="left"/>
              <w:rPr>
                <w:sz w:val="18"/>
                <w:szCs w:val="18"/>
              </w:rPr>
            </w:pPr>
          </w:p>
        </w:tc>
        <w:tc>
          <w:tcPr>
            <w:tcW w:w="2075" w:type="pct"/>
            <w:gridSpan w:val="4"/>
            <w:shd w:val="clear" w:color="auto" w:fill="FFFFFF" w:themeFill="background1"/>
          </w:tcPr>
          <w:p w14:paraId="03F5AAD6" w14:textId="77777777" w:rsidR="009600CF" w:rsidRPr="007757A2" w:rsidRDefault="009600CF" w:rsidP="00F167F7">
            <w:pPr>
              <w:pStyle w:val="BodyText"/>
              <w:rPr>
                <w:b/>
                <w:sz w:val="18"/>
                <w:szCs w:val="18"/>
              </w:rPr>
            </w:pPr>
          </w:p>
        </w:tc>
      </w:tr>
      <w:tr w:rsidR="009600CF" w14:paraId="0101BD22" w14:textId="77777777" w:rsidTr="007B198D">
        <w:trPr>
          <w:gridBefore w:val="1"/>
          <w:wBefore w:w="128" w:type="pct"/>
          <w:trHeight w:val="910"/>
        </w:trPr>
        <w:tc>
          <w:tcPr>
            <w:tcW w:w="798" w:type="pct"/>
            <w:vMerge/>
            <w:shd w:val="clear" w:color="auto" w:fill="FFFFFF" w:themeFill="background1"/>
          </w:tcPr>
          <w:p w14:paraId="704BBD64" w14:textId="77777777" w:rsidR="009600CF" w:rsidRPr="006661D3" w:rsidRDefault="009600CF" w:rsidP="00F167F7">
            <w:pPr>
              <w:pStyle w:val="BodyText"/>
              <w:jc w:val="left"/>
              <w:rPr>
                <w:b/>
              </w:rPr>
            </w:pPr>
          </w:p>
        </w:tc>
        <w:tc>
          <w:tcPr>
            <w:tcW w:w="105" w:type="pct"/>
            <w:gridSpan w:val="3"/>
            <w:shd w:val="clear" w:color="auto" w:fill="FFFFFF" w:themeFill="background1"/>
          </w:tcPr>
          <w:p w14:paraId="24ADA4C9" w14:textId="77777777" w:rsidR="009600CF" w:rsidRDefault="009600CF" w:rsidP="00F167F7">
            <w:pPr>
              <w:pStyle w:val="BodyText"/>
            </w:pPr>
          </w:p>
        </w:tc>
        <w:sdt>
          <w:sdtPr>
            <w:rPr>
              <w:sz w:val="18"/>
              <w:szCs w:val="18"/>
            </w:rPr>
            <w:id w:val="-318959614"/>
            <w14:checkbox>
              <w14:checked w14:val="0"/>
              <w14:checkedState w14:val="00FC" w14:font="Wingdings"/>
              <w14:uncheckedState w14:val="2610" w14:font="MS Gothic"/>
            </w14:checkbox>
          </w:sdtPr>
          <w:sdtEndPr/>
          <w:sdtContent>
            <w:tc>
              <w:tcPr>
                <w:tcW w:w="184" w:type="pct"/>
                <w:gridSpan w:val="5"/>
                <w:shd w:val="clear" w:color="auto" w:fill="FFFFFF" w:themeFill="background1"/>
              </w:tcPr>
              <w:p w14:paraId="34977C60" w14:textId="77777777" w:rsidR="009600CF" w:rsidRPr="007757A2" w:rsidRDefault="009600CF" w:rsidP="00F167F7">
                <w:pPr>
                  <w:pStyle w:val="BodyText"/>
                  <w:rPr>
                    <w:sz w:val="18"/>
                    <w:szCs w:val="18"/>
                  </w:rPr>
                </w:pPr>
                <w:r>
                  <w:rPr>
                    <w:rFonts w:ascii="MS Gothic" w:eastAsia="MS Gothic" w:hAnsi="MS Gothic" w:hint="eastAsia"/>
                    <w:sz w:val="18"/>
                    <w:szCs w:val="18"/>
                  </w:rPr>
                  <w:t>☐</w:t>
                </w:r>
              </w:p>
            </w:tc>
          </w:sdtContent>
        </w:sdt>
        <w:tc>
          <w:tcPr>
            <w:tcW w:w="1468" w:type="pct"/>
            <w:gridSpan w:val="9"/>
            <w:shd w:val="clear" w:color="auto" w:fill="FFFFFF" w:themeFill="background1"/>
          </w:tcPr>
          <w:p w14:paraId="328B420C" w14:textId="77777777" w:rsidR="009600CF" w:rsidRPr="007757A2" w:rsidRDefault="009600CF" w:rsidP="00F167F7">
            <w:pPr>
              <w:pStyle w:val="BodyText"/>
              <w:jc w:val="left"/>
              <w:rPr>
                <w:sz w:val="18"/>
                <w:szCs w:val="18"/>
              </w:rPr>
            </w:pPr>
            <w:r w:rsidRPr="007757A2">
              <w:rPr>
                <w:sz w:val="18"/>
                <w:szCs w:val="18"/>
              </w:rPr>
              <w:t xml:space="preserve">It will make a minimum of </w:t>
            </w:r>
            <w:r w:rsidRPr="007757A2">
              <w:rPr>
                <w:b/>
                <w:sz w:val="18"/>
                <w:szCs w:val="18"/>
              </w:rPr>
              <w:t>sustainable investments with an environmental objective</w:t>
            </w:r>
            <w:r w:rsidRPr="007757A2">
              <w:rPr>
                <w:sz w:val="18"/>
                <w:szCs w:val="18"/>
              </w:rPr>
              <w:t>: ___%</w:t>
            </w:r>
          </w:p>
        </w:tc>
        <w:sdt>
          <w:sdtPr>
            <w:rPr>
              <w:sz w:val="18"/>
              <w:szCs w:val="18"/>
            </w:rPr>
            <w:id w:val="181783699"/>
            <w14:checkbox>
              <w14:checked w14:val="0"/>
              <w14:checkedState w14:val="2612" w14:font="MS Gothic"/>
              <w14:uncheckedState w14:val="2610" w14:font="MS Gothic"/>
            </w14:checkbox>
          </w:sdtPr>
          <w:sdtEndPr/>
          <w:sdtContent>
            <w:tc>
              <w:tcPr>
                <w:tcW w:w="243" w:type="pct"/>
                <w:shd w:val="clear" w:color="auto" w:fill="FFFFFF" w:themeFill="background1"/>
              </w:tcPr>
              <w:p w14:paraId="237191AA" w14:textId="77777777" w:rsidR="009600CF" w:rsidRPr="007757A2" w:rsidRDefault="009600CF" w:rsidP="00F167F7">
                <w:pPr>
                  <w:pStyle w:val="BodyText"/>
                  <w:ind w:right="-393"/>
                  <w:jc w:val="left"/>
                  <w:rPr>
                    <w:sz w:val="18"/>
                    <w:szCs w:val="18"/>
                  </w:rPr>
                </w:pPr>
                <w:r>
                  <w:rPr>
                    <w:rFonts w:ascii="MS Gothic" w:eastAsia="MS Gothic" w:hAnsi="MS Gothic" w:hint="eastAsia"/>
                    <w:sz w:val="18"/>
                    <w:szCs w:val="18"/>
                  </w:rPr>
                  <w:t>☐</w:t>
                </w:r>
              </w:p>
            </w:tc>
          </w:sdtContent>
        </w:sdt>
        <w:tc>
          <w:tcPr>
            <w:tcW w:w="2075" w:type="pct"/>
            <w:gridSpan w:val="4"/>
            <w:shd w:val="clear" w:color="auto" w:fill="FFFFFF" w:themeFill="background1"/>
          </w:tcPr>
          <w:p w14:paraId="56EDEF4A" w14:textId="77777777" w:rsidR="009600CF" w:rsidRPr="007757A2" w:rsidRDefault="009600CF" w:rsidP="00F167F7">
            <w:pPr>
              <w:pStyle w:val="BodyText"/>
              <w:rPr>
                <w:sz w:val="18"/>
                <w:szCs w:val="18"/>
              </w:rPr>
            </w:pPr>
            <w:r w:rsidRPr="007757A2">
              <w:rPr>
                <w:b/>
                <w:sz w:val="18"/>
                <w:szCs w:val="18"/>
              </w:rPr>
              <w:t>It promotes Environmental/ Social (E/S) characteristics</w:t>
            </w:r>
            <w:r w:rsidRPr="007757A2">
              <w:rPr>
                <w:sz w:val="18"/>
                <w:szCs w:val="18"/>
              </w:rPr>
              <w:t xml:space="preserve"> and while it does not have as its objective a sustainable investment, it will have a minimum proportion of ___% of sustainable investments</w:t>
            </w:r>
          </w:p>
        </w:tc>
      </w:tr>
      <w:tr w:rsidR="009600CF" w14:paraId="58BF2BAC" w14:textId="77777777" w:rsidTr="007B198D">
        <w:trPr>
          <w:gridBefore w:val="1"/>
          <w:wBefore w:w="128" w:type="pct"/>
          <w:trHeight w:val="498"/>
        </w:trPr>
        <w:tc>
          <w:tcPr>
            <w:tcW w:w="798" w:type="pct"/>
            <w:vMerge w:val="restart"/>
            <w:shd w:val="clear" w:color="auto" w:fill="FFFFFF" w:themeFill="background1"/>
          </w:tcPr>
          <w:p w14:paraId="3AC16D43" w14:textId="77777777" w:rsidR="009600CF" w:rsidRPr="00272D28" w:rsidRDefault="009600CF" w:rsidP="00F167F7">
            <w:pPr>
              <w:pStyle w:val="BodyText"/>
              <w:shd w:val="clear" w:color="auto" w:fill="F2F2F2" w:themeFill="background1" w:themeFillShade="F2"/>
              <w:spacing w:before="240"/>
              <w:jc w:val="left"/>
            </w:pPr>
            <w:r w:rsidRPr="009E1D6B">
              <w:rPr>
                <w:sz w:val="18"/>
              </w:rPr>
              <w:t xml:space="preserve">The </w:t>
            </w:r>
            <w:r w:rsidRPr="009E1D6B">
              <w:rPr>
                <w:b/>
                <w:sz w:val="18"/>
              </w:rPr>
              <w:t>EU Taxonomy</w:t>
            </w:r>
            <w:r w:rsidRPr="009E1D6B">
              <w:rPr>
                <w:sz w:val="18"/>
              </w:rPr>
              <w:t xml:space="preserve"> is a classification system laid down in Regulation (EU) 2020/852, establishing a list of </w:t>
            </w:r>
            <w:r w:rsidRPr="009E1D6B">
              <w:rPr>
                <w:b/>
                <w:sz w:val="18"/>
              </w:rPr>
              <w:t>environmentally sustainable economic activities</w:t>
            </w:r>
            <w:r w:rsidRPr="009E1D6B">
              <w:rPr>
                <w:sz w:val="18"/>
              </w:rPr>
              <w:t>. That Regulation does not lay down a list of socially sustainable economic activities.  Sustainable investments with an environmental objective might be aligned with the Taxonomy or not</w:t>
            </w:r>
            <w:r w:rsidRPr="00272D28">
              <w:t xml:space="preserve">.  </w:t>
            </w:r>
          </w:p>
        </w:tc>
        <w:tc>
          <w:tcPr>
            <w:tcW w:w="105" w:type="pct"/>
            <w:gridSpan w:val="3"/>
            <w:vMerge w:val="restart"/>
            <w:shd w:val="clear" w:color="auto" w:fill="FFFFFF" w:themeFill="background1"/>
          </w:tcPr>
          <w:p w14:paraId="298967C1" w14:textId="77777777" w:rsidR="009600CF" w:rsidRDefault="009600CF" w:rsidP="00F167F7">
            <w:pPr>
              <w:pStyle w:val="BodyText"/>
            </w:pPr>
          </w:p>
        </w:tc>
        <w:tc>
          <w:tcPr>
            <w:tcW w:w="184" w:type="pct"/>
            <w:gridSpan w:val="5"/>
            <w:vMerge w:val="restart"/>
            <w:shd w:val="clear" w:color="auto" w:fill="FFFFFF" w:themeFill="background1"/>
          </w:tcPr>
          <w:p w14:paraId="175E0FD6" w14:textId="77777777" w:rsidR="009600CF" w:rsidRPr="007757A2" w:rsidRDefault="009600CF" w:rsidP="00F167F7">
            <w:pPr>
              <w:pStyle w:val="BodyText"/>
              <w:rPr>
                <w:sz w:val="18"/>
                <w:szCs w:val="18"/>
              </w:rPr>
            </w:pPr>
          </w:p>
        </w:tc>
        <w:sdt>
          <w:sdtPr>
            <w:rPr>
              <w:color w:val="1F497D" w:themeColor="text2"/>
              <w:sz w:val="18"/>
              <w:szCs w:val="18"/>
            </w:rPr>
            <w:id w:val="1279838764"/>
            <w14:checkbox>
              <w14:checked w14:val="0"/>
              <w14:checkedState w14:val="2612" w14:font="MS Gothic"/>
              <w14:uncheckedState w14:val="2610" w14:font="MS Gothic"/>
            </w14:checkbox>
          </w:sdtPr>
          <w:sdtEndPr/>
          <w:sdtContent>
            <w:tc>
              <w:tcPr>
                <w:tcW w:w="200" w:type="pct"/>
                <w:gridSpan w:val="4"/>
                <w:shd w:val="clear" w:color="auto" w:fill="FFFFFF" w:themeFill="background1"/>
              </w:tcPr>
              <w:p w14:paraId="0E924B7A" w14:textId="77777777" w:rsidR="009600CF" w:rsidRPr="007757A2" w:rsidRDefault="009600CF" w:rsidP="00F167F7">
                <w:pPr>
                  <w:pStyle w:val="BodyText"/>
                  <w:jc w:val="left"/>
                  <w:rPr>
                    <w:color w:val="1F497D" w:themeColor="text2"/>
                    <w:sz w:val="18"/>
                    <w:szCs w:val="18"/>
                  </w:rPr>
                </w:pPr>
                <w:r w:rsidRPr="007757A2">
                  <w:rPr>
                    <w:rFonts w:ascii="MS Gothic" w:eastAsia="MS Gothic" w:hAnsi="MS Gothic" w:hint="eastAsia"/>
                    <w:color w:val="1F497D" w:themeColor="text2"/>
                    <w:sz w:val="18"/>
                    <w:szCs w:val="18"/>
                  </w:rPr>
                  <w:t>☐</w:t>
                </w:r>
              </w:p>
            </w:tc>
          </w:sdtContent>
        </w:sdt>
        <w:tc>
          <w:tcPr>
            <w:tcW w:w="1268" w:type="pct"/>
            <w:gridSpan w:val="5"/>
            <w:shd w:val="clear" w:color="auto" w:fill="FFFFFF" w:themeFill="background1"/>
          </w:tcPr>
          <w:p w14:paraId="1D664CC8" w14:textId="77777777" w:rsidR="009600CF" w:rsidRPr="00DA09B8" w:rsidRDefault="009600CF" w:rsidP="00F167F7">
            <w:pPr>
              <w:pStyle w:val="BodyText"/>
              <w:spacing w:after="120"/>
              <w:jc w:val="left"/>
            </w:pPr>
            <w:r w:rsidRPr="00DA09B8">
              <w:t>in economic activities that qualify as environmentally sustainable under the EU Taxonomy</w:t>
            </w:r>
          </w:p>
        </w:tc>
        <w:tc>
          <w:tcPr>
            <w:tcW w:w="243" w:type="pct"/>
            <w:vMerge w:val="restart"/>
            <w:shd w:val="clear" w:color="auto" w:fill="FFFFFF" w:themeFill="background1"/>
          </w:tcPr>
          <w:p w14:paraId="789C56BD" w14:textId="77777777" w:rsidR="009600CF" w:rsidRPr="007757A2" w:rsidRDefault="009600CF" w:rsidP="00F167F7">
            <w:pPr>
              <w:pStyle w:val="BodyText"/>
              <w:ind w:right="-393"/>
              <w:jc w:val="left"/>
              <w:rPr>
                <w:color w:val="1F497D" w:themeColor="text2"/>
                <w:sz w:val="18"/>
                <w:szCs w:val="18"/>
              </w:rPr>
            </w:pPr>
          </w:p>
        </w:tc>
        <w:sdt>
          <w:sdtPr>
            <w:rPr>
              <w:rFonts w:asciiTheme="minorHAnsi" w:hAnsiTheme="minorHAnsi" w:cstheme="minorHAnsi"/>
              <w:color w:val="1F497D" w:themeColor="text2"/>
              <w:sz w:val="18"/>
              <w:szCs w:val="18"/>
            </w:rPr>
            <w:id w:val="-125248050"/>
            <w14:checkbox>
              <w14:checked w14:val="0"/>
              <w14:checkedState w14:val="2612" w14:font="MS Gothic"/>
              <w14:uncheckedState w14:val="2610" w14:font="MS Gothic"/>
            </w14:checkbox>
          </w:sdtPr>
          <w:sdtEndPr/>
          <w:sdtContent>
            <w:tc>
              <w:tcPr>
                <w:tcW w:w="238" w:type="pct"/>
                <w:shd w:val="clear" w:color="auto" w:fill="FFFFFF" w:themeFill="background1"/>
              </w:tcPr>
              <w:p w14:paraId="20B898CF" w14:textId="77777777" w:rsidR="009600CF" w:rsidRPr="007757A2" w:rsidRDefault="009600CF" w:rsidP="00F167F7">
                <w:pPr>
                  <w:pStyle w:val="BodyText"/>
                  <w:jc w:val="right"/>
                  <w:rPr>
                    <w:rFonts w:asciiTheme="minorHAnsi" w:hAnsiTheme="minorHAnsi" w:cstheme="minorHAnsi"/>
                    <w:color w:val="1F497D" w:themeColor="text2"/>
                    <w:sz w:val="18"/>
                    <w:szCs w:val="18"/>
                  </w:rPr>
                </w:pPr>
                <w:r>
                  <w:rPr>
                    <w:rFonts w:ascii="MS Gothic" w:eastAsia="MS Gothic" w:hAnsi="MS Gothic" w:cstheme="minorHAnsi" w:hint="eastAsia"/>
                    <w:color w:val="1F497D" w:themeColor="text2"/>
                    <w:sz w:val="18"/>
                    <w:szCs w:val="18"/>
                  </w:rPr>
                  <w:t>☐</w:t>
                </w:r>
              </w:p>
            </w:tc>
          </w:sdtContent>
        </w:sdt>
        <w:tc>
          <w:tcPr>
            <w:tcW w:w="1837" w:type="pct"/>
            <w:gridSpan w:val="3"/>
            <w:shd w:val="clear" w:color="auto" w:fill="FFFFFF" w:themeFill="background1"/>
          </w:tcPr>
          <w:p w14:paraId="64CAF252" w14:textId="77777777" w:rsidR="009600CF" w:rsidRPr="00DA09B8" w:rsidRDefault="009600CF" w:rsidP="00F167F7">
            <w:pPr>
              <w:pStyle w:val="BodyText"/>
              <w:jc w:val="left"/>
              <w:rPr>
                <w:b/>
              </w:rPr>
            </w:pPr>
            <w:r w:rsidRPr="00DA09B8">
              <w:t>with an environmental objective in economic activities that qualify as environmentally sustainable under the EU Taxonomy</w:t>
            </w:r>
          </w:p>
        </w:tc>
      </w:tr>
      <w:tr w:rsidR="009600CF" w14:paraId="49C22F22" w14:textId="77777777" w:rsidTr="007B198D">
        <w:trPr>
          <w:gridBefore w:val="1"/>
          <w:wBefore w:w="128" w:type="pct"/>
          <w:trHeight w:val="498"/>
        </w:trPr>
        <w:tc>
          <w:tcPr>
            <w:tcW w:w="798" w:type="pct"/>
            <w:vMerge/>
            <w:shd w:val="clear" w:color="auto" w:fill="FFFFFF" w:themeFill="background1"/>
          </w:tcPr>
          <w:p w14:paraId="38FB574D" w14:textId="77777777" w:rsidR="009600CF" w:rsidRPr="006661D3" w:rsidRDefault="009600CF" w:rsidP="00F167F7">
            <w:pPr>
              <w:pStyle w:val="BodyText"/>
              <w:jc w:val="left"/>
              <w:rPr>
                <w:b/>
              </w:rPr>
            </w:pPr>
          </w:p>
        </w:tc>
        <w:tc>
          <w:tcPr>
            <w:tcW w:w="105" w:type="pct"/>
            <w:gridSpan w:val="3"/>
            <w:vMerge/>
            <w:shd w:val="clear" w:color="auto" w:fill="FFFFFF" w:themeFill="background1"/>
          </w:tcPr>
          <w:p w14:paraId="1D50FB71" w14:textId="77777777" w:rsidR="009600CF" w:rsidRDefault="009600CF" w:rsidP="00F167F7">
            <w:pPr>
              <w:pStyle w:val="BodyText"/>
            </w:pPr>
          </w:p>
        </w:tc>
        <w:tc>
          <w:tcPr>
            <w:tcW w:w="184" w:type="pct"/>
            <w:gridSpan w:val="5"/>
            <w:vMerge/>
            <w:shd w:val="clear" w:color="auto" w:fill="FFFFFF" w:themeFill="background1"/>
          </w:tcPr>
          <w:p w14:paraId="46CAE90E" w14:textId="77777777" w:rsidR="009600CF" w:rsidRPr="007757A2" w:rsidRDefault="009600CF" w:rsidP="00F167F7">
            <w:pPr>
              <w:pStyle w:val="BodyText"/>
              <w:rPr>
                <w:sz w:val="18"/>
                <w:szCs w:val="18"/>
              </w:rPr>
            </w:pPr>
          </w:p>
        </w:tc>
        <w:sdt>
          <w:sdtPr>
            <w:rPr>
              <w:color w:val="1F497D" w:themeColor="text2"/>
              <w:sz w:val="18"/>
              <w:szCs w:val="18"/>
            </w:rPr>
            <w:id w:val="-624165605"/>
            <w14:checkbox>
              <w14:checked w14:val="0"/>
              <w14:checkedState w14:val="2612" w14:font="MS Gothic"/>
              <w14:uncheckedState w14:val="2610" w14:font="MS Gothic"/>
            </w14:checkbox>
          </w:sdtPr>
          <w:sdtEndPr/>
          <w:sdtContent>
            <w:tc>
              <w:tcPr>
                <w:tcW w:w="200" w:type="pct"/>
                <w:gridSpan w:val="4"/>
                <w:shd w:val="clear" w:color="auto" w:fill="FFFFFF" w:themeFill="background1"/>
              </w:tcPr>
              <w:p w14:paraId="715B911B" w14:textId="77777777" w:rsidR="009600CF" w:rsidRPr="007757A2" w:rsidRDefault="009600CF" w:rsidP="00F167F7">
                <w:pPr>
                  <w:pStyle w:val="BodyText"/>
                  <w:jc w:val="left"/>
                  <w:rPr>
                    <w:color w:val="1F497D" w:themeColor="text2"/>
                    <w:sz w:val="18"/>
                    <w:szCs w:val="18"/>
                  </w:rPr>
                </w:pPr>
                <w:r w:rsidRPr="007757A2">
                  <w:rPr>
                    <w:rFonts w:ascii="MS Gothic" w:eastAsia="MS Gothic" w:hAnsi="MS Gothic" w:hint="eastAsia"/>
                    <w:color w:val="1F497D" w:themeColor="text2"/>
                    <w:sz w:val="18"/>
                    <w:szCs w:val="18"/>
                  </w:rPr>
                  <w:t>☐</w:t>
                </w:r>
              </w:p>
            </w:tc>
          </w:sdtContent>
        </w:sdt>
        <w:tc>
          <w:tcPr>
            <w:tcW w:w="1268" w:type="pct"/>
            <w:gridSpan w:val="5"/>
            <w:shd w:val="clear" w:color="auto" w:fill="FFFFFF" w:themeFill="background1"/>
          </w:tcPr>
          <w:p w14:paraId="60DA9C89" w14:textId="77777777" w:rsidR="009600CF" w:rsidRPr="00DA09B8" w:rsidRDefault="009600CF" w:rsidP="00F167F7">
            <w:pPr>
              <w:pStyle w:val="BodyText"/>
              <w:jc w:val="left"/>
            </w:pPr>
            <w:r w:rsidRPr="00DA09B8">
              <w:t>in economic activities that do not qualify as environmentally sustainable under the EU Taxonomy</w:t>
            </w:r>
          </w:p>
        </w:tc>
        <w:tc>
          <w:tcPr>
            <w:tcW w:w="243" w:type="pct"/>
            <w:vMerge/>
            <w:shd w:val="clear" w:color="auto" w:fill="FFFFFF" w:themeFill="background1"/>
          </w:tcPr>
          <w:p w14:paraId="3DB42AFB" w14:textId="77777777" w:rsidR="009600CF" w:rsidRPr="007757A2" w:rsidRDefault="009600CF" w:rsidP="00F167F7">
            <w:pPr>
              <w:pStyle w:val="BodyText"/>
              <w:ind w:right="-393"/>
              <w:jc w:val="left"/>
              <w:rPr>
                <w:color w:val="1F497D" w:themeColor="text2"/>
                <w:sz w:val="18"/>
                <w:szCs w:val="18"/>
              </w:rPr>
            </w:pPr>
          </w:p>
        </w:tc>
        <w:sdt>
          <w:sdtPr>
            <w:rPr>
              <w:rFonts w:asciiTheme="minorHAnsi" w:hAnsiTheme="minorHAnsi" w:cstheme="minorHAnsi"/>
              <w:color w:val="1F497D" w:themeColor="text2"/>
              <w:sz w:val="18"/>
              <w:szCs w:val="18"/>
            </w:rPr>
            <w:id w:val="871045626"/>
            <w14:checkbox>
              <w14:checked w14:val="0"/>
              <w14:checkedState w14:val="2612" w14:font="MS Gothic"/>
              <w14:uncheckedState w14:val="2610" w14:font="MS Gothic"/>
            </w14:checkbox>
          </w:sdtPr>
          <w:sdtEndPr/>
          <w:sdtContent>
            <w:tc>
              <w:tcPr>
                <w:tcW w:w="238" w:type="pct"/>
                <w:shd w:val="clear" w:color="auto" w:fill="FFFFFF" w:themeFill="background1"/>
              </w:tcPr>
              <w:p w14:paraId="43E1B8A6" w14:textId="77777777" w:rsidR="009600CF" w:rsidRPr="007757A2" w:rsidRDefault="009600CF" w:rsidP="00F167F7">
                <w:pPr>
                  <w:pStyle w:val="BodyText"/>
                  <w:jc w:val="right"/>
                  <w:rPr>
                    <w:rFonts w:asciiTheme="minorHAnsi" w:hAnsiTheme="minorHAnsi" w:cstheme="minorHAnsi"/>
                    <w:color w:val="1F497D" w:themeColor="text2"/>
                    <w:sz w:val="18"/>
                    <w:szCs w:val="18"/>
                  </w:rPr>
                </w:pPr>
                <w:r>
                  <w:rPr>
                    <w:rFonts w:ascii="MS Gothic" w:eastAsia="MS Gothic" w:hAnsi="MS Gothic" w:cstheme="minorHAnsi" w:hint="eastAsia"/>
                    <w:color w:val="1F497D" w:themeColor="text2"/>
                    <w:sz w:val="18"/>
                    <w:szCs w:val="18"/>
                  </w:rPr>
                  <w:t>☐</w:t>
                </w:r>
              </w:p>
            </w:tc>
          </w:sdtContent>
        </w:sdt>
        <w:tc>
          <w:tcPr>
            <w:tcW w:w="1837" w:type="pct"/>
            <w:gridSpan w:val="3"/>
            <w:shd w:val="clear" w:color="auto" w:fill="FFFFFF" w:themeFill="background1"/>
          </w:tcPr>
          <w:p w14:paraId="45758D80" w14:textId="77777777" w:rsidR="009600CF" w:rsidRPr="00DA09B8" w:rsidRDefault="009600CF" w:rsidP="00F167F7">
            <w:pPr>
              <w:pStyle w:val="BodyText"/>
              <w:jc w:val="left"/>
              <w:rPr>
                <w:b/>
              </w:rPr>
            </w:pPr>
            <w:r w:rsidRPr="00DA09B8">
              <w:t>with an environmental objective in economic activities that do not qualify as environmentally sustainable under the EU Taxonomy</w:t>
            </w:r>
          </w:p>
        </w:tc>
      </w:tr>
      <w:tr w:rsidR="009600CF" w14:paraId="5F08FAA2" w14:textId="77777777" w:rsidTr="007B198D">
        <w:trPr>
          <w:gridBefore w:val="1"/>
          <w:wBefore w:w="128" w:type="pct"/>
          <w:trHeight w:val="227"/>
        </w:trPr>
        <w:tc>
          <w:tcPr>
            <w:tcW w:w="798" w:type="pct"/>
            <w:vMerge/>
            <w:shd w:val="clear" w:color="auto" w:fill="FFFFFF" w:themeFill="background1"/>
          </w:tcPr>
          <w:p w14:paraId="3996F7B4" w14:textId="77777777" w:rsidR="009600CF" w:rsidRPr="006661D3" w:rsidRDefault="009600CF" w:rsidP="00F167F7">
            <w:pPr>
              <w:pStyle w:val="BodyText"/>
              <w:jc w:val="left"/>
              <w:rPr>
                <w:b/>
              </w:rPr>
            </w:pPr>
          </w:p>
        </w:tc>
        <w:tc>
          <w:tcPr>
            <w:tcW w:w="105" w:type="pct"/>
            <w:gridSpan w:val="3"/>
            <w:vMerge/>
            <w:shd w:val="clear" w:color="auto" w:fill="FFFFFF" w:themeFill="background1"/>
          </w:tcPr>
          <w:p w14:paraId="6FA991C0" w14:textId="77777777" w:rsidR="009600CF" w:rsidRDefault="009600CF" w:rsidP="00F167F7">
            <w:pPr>
              <w:pStyle w:val="BodyText"/>
            </w:pPr>
          </w:p>
        </w:tc>
        <w:tc>
          <w:tcPr>
            <w:tcW w:w="184" w:type="pct"/>
            <w:gridSpan w:val="5"/>
            <w:vMerge/>
            <w:shd w:val="clear" w:color="auto" w:fill="FFFFFF" w:themeFill="background1"/>
          </w:tcPr>
          <w:p w14:paraId="57495907" w14:textId="77777777" w:rsidR="009600CF" w:rsidRPr="007757A2" w:rsidRDefault="009600CF" w:rsidP="00F167F7">
            <w:pPr>
              <w:pStyle w:val="BodyText"/>
              <w:rPr>
                <w:sz w:val="18"/>
                <w:szCs w:val="18"/>
              </w:rPr>
            </w:pPr>
          </w:p>
        </w:tc>
        <w:tc>
          <w:tcPr>
            <w:tcW w:w="1468" w:type="pct"/>
            <w:gridSpan w:val="9"/>
            <w:shd w:val="clear" w:color="auto" w:fill="FFFFFF" w:themeFill="background1"/>
          </w:tcPr>
          <w:p w14:paraId="33E93923" w14:textId="77777777" w:rsidR="009600CF" w:rsidRPr="007757A2" w:rsidRDefault="009600CF" w:rsidP="00F167F7">
            <w:pPr>
              <w:pStyle w:val="BodyText"/>
              <w:jc w:val="left"/>
              <w:rPr>
                <w:sz w:val="18"/>
                <w:szCs w:val="18"/>
              </w:rPr>
            </w:pPr>
          </w:p>
        </w:tc>
        <w:tc>
          <w:tcPr>
            <w:tcW w:w="243" w:type="pct"/>
            <w:vMerge/>
            <w:shd w:val="clear" w:color="auto" w:fill="FFFFFF" w:themeFill="background1"/>
          </w:tcPr>
          <w:p w14:paraId="1541B428" w14:textId="77777777" w:rsidR="009600CF" w:rsidRPr="007757A2" w:rsidRDefault="009600CF" w:rsidP="00F167F7">
            <w:pPr>
              <w:pStyle w:val="BodyText"/>
              <w:ind w:right="-393"/>
              <w:jc w:val="left"/>
              <w:rPr>
                <w:color w:val="1F497D" w:themeColor="text2"/>
                <w:sz w:val="18"/>
                <w:szCs w:val="18"/>
              </w:rPr>
            </w:pPr>
          </w:p>
        </w:tc>
        <w:tc>
          <w:tcPr>
            <w:tcW w:w="238" w:type="pct"/>
            <w:shd w:val="clear" w:color="auto" w:fill="FFFFFF" w:themeFill="background1"/>
          </w:tcPr>
          <w:p w14:paraId="14A91E1A" w14:textId="77777777" w:rsidR="009600CF" w:rsidRDefault="009600CF" w:rsidP="00F167F7">
            <w:pPr>
              <w:pStyle w:val="BodyText"/>
              <w:jc w:val="right"/>
              <w:rPr>
                <w:rFonts w:asciiTheme="minorHAnsi" w:hAnsiTheme="minorHAnsi" w:cstheme="minorHAnsi"/>
                <w:color w:val="1F497D" w:themeColor="text2"/>
                <w:sz w:val="18"/>
                <w:szCs w:val="18"/>
              </w:rPr>
            </w:pPr>
          </w:p>
        </w:tc>
        <w:tc>
          <w:tcPr>
            <w:tcW w:w="1837" w:type="pct"/>
            <w:gridSpan w:val="3"/>
            <w:shd w:val="clear" w:color="auto" w:fill="FFFFFF" w:themeFill="background1"/>
          </w:tcPr>
          <w:p w14:paraId="36F48E6F" w14:textId="77777777" w:rsidR="009600CF" w:rsidRPr="00DA09B8" w:rsidRDefault="009600CF" w:rsidP="00F167F7">
            <w:pPr>
              <w:pStyle w:val="BodyText"/>
              <w:jc w:val="left"/>
            </w:pPr>
          </w:p>
        </w:tc>
      </w:tr>
      <w:tr w:rsidR="009600CF" w14:paraId="2721073A" w14:textId="77777777" w:rsidTr="007B198D">
        <w:trPr>
          <w:gridBefore w:val="1"/>
          <w:wBefore w:w="128" w:type="pct"/>
          <w:trHeight w:val="497"/>
        </w:trPr>
        <w:tc>
          <w:tcPr>
            <w:tcW w:w="798" w:type="pct"/>
            <w:vMerge/>
            <w:shd w:val="clear" w:color="auto" w:fill="FFFFFF" w:themeFill="background1"/>
          </w:tcPr>
          <w:p w14:paraId="76840F89" w14:textId="77777777" w:rsidR="009600CF" w:rsidRPr="006661D3" w:rsidRDefault="009600CF" w:rsidP="00F167F7">
            <w:pPr>
              <w:pStyle w:val="BodyText"/>
              <w:jc w:val="left"/>
              <w:rPr>
                <w:b/>
              </w:rPr>
            </w:pPr>
          </w:p>
        </w:tc>
        <w:tc>
          <w:tcPr>
            <w:tcW w:w="105" w:type="pct"/>
            <w:gridSpan w:val="3"/>
            <w:vMerge/>
            <w:shd w:val="clear" w:color="auto" w:fill="FFFFFF" w:themeFill="background1"/>
          </w:tcPr>
          <w:p w14:paraId="4354F02F" w14:textId="77777777" w:rsidR="009600CF" w:rsidRDefault="009600CF" w:rsidP="00F167F7">
            <w:pPr>
              <w:pStyle w:val="BodyText"/>
            </w:pPr>
          </w:p>
        </w:tc>
        <w:tc>
          <w:tcPr>
            <w:tcW w:w="184" w:type="pct"/>
            <w:gridSpan w:val="5"/>
            <w:vMerge/>
            <w:shd w:val="clear" w:color="auto" w:fill="FFFFFF" w:themeFill="background1"/>
          </w:tcPr>
          <w:p w14:paraId="2C8F06D4" w14:textId="77777777" w:rsidR="009600CF" w:rsidRPr="007757A2" w:rsidRDefault="009600CF" w:rsidP="00F167F7">
            <w:pPr>
              <w:pStyle w:val="BodyText"/>
              <w:rPr>
                <w:sz w:val="18"/>
                <w:szCs w:val="18"/>
              </w:rPr>
            </w:pPr>
          </w:p>
        </w:tc>
        <w:tc>
          <w:tcPr>
            <w:tcW w:w="1468" w:type="pct"/>
            <w:gridSpan w:val="9"/>
            <w:shd w:val="clear" w:color="auto" w:fill="FFFFFF" w:themeFill="background1"/>
          </w:tcPr>
          <w:p w14:paraId="0605BEFF" w14:textId="77777777" w:rsidR="009600CF" w:rsidRPr="007757A2" w:rsidRDefault="009600CF" w:rsidP="00F167F7">
            <w:pPr>
              <w:pStyle w:val="BodyText"/>
              <w:jc w:val="left"/>
              <w:rPr>
                <w:sz w:val="18"/>
                <w:szCs w:val="18"/>
              </w:rPr>
            </w:pPr>
          </w:p>
        </w:tc>
        <w:tc>
          <w:tcPr>
            <w:tcW w:w="243" w:type="pct"/>
            <w:vMerge/>
            <w:shd w:val="clear" w:color="auto" w:fill="FFFFFF" w:themeFill="background1"/>
          </w:tcPr>
          <w:p w14:paraId="257CF728" w14:textId="77777777" w:rsidR="009600CF" w:rsidRPr="007757A2" w:rsidRDefault="009600CF" w:rsidP="00F167F7">
            <w:pPr>
              <w:pStyle w:val="BodyText"/>
              <w:ind w:right="-393"/>
              <w:jc w:val="left"/>
              <w:rPr>
                <w:color w:val="1F497D" w:themeColor="text2"/>
                <w:sz w:val="18"/>
                <w:szCs w:val="18"/>
              </w:rPr>
            </w:pPr>
          </w:p>
        </w:tc>
        <w:sdt>
          <w:sdtPr>
            <w:rPr>
              <w:rFonts w:asciiTheme="minorHAnsi" w:hAnsiTheme="minorHAnsi" w:cstheme="minorHAnsi"/>
              <w:color w:val="1F497D" w:themeColor="text2"/>
              <w:sz w:val="18"/>
              <w:szCs w:val="18"/>
            </w:rPr>
            <w:id w:val="-2078887899"/>
            <w14:checkbox>
              <w14:checked w14:val="0"/>
              <w14:checkedState w14:val="2612" w14:font="MS Gothic"/>
              <w14:uncheckedState w14:val="2610" w14:font="MS Gothic"/>
            </w14:checkbox>
          </w:sdtPr>
          <w:sdtEndPr/>
          <w:sdtContent>
            <w:tc>
              <w:tcPr>
                <w:tcW w:w="238" w:type="pct"/>
                <w:shd w:val="clear" w:color="auto" w:fill="FFFFFF" w:themeFill="background1"/>
              </w:tcPr>
              <w:p w14:paraId="46228E0D" w14:textId="77777777" w:rsidR="009600CF" w:rsidRPr="007757A2" w:rsidRDefault="009600CF" w:rsidP="00F167F7">
                <w:pPr>
                  <w:pStyle w:val="BodyText"/>
                  <w:jc w:val="right"/>
                  <w:rPr>
                    <w:rFonts w:asciiTheme="minorHAnsi" w:hAnsiTheme="minorHAnsi" w:cstheme="minorHAnsi"/>
                    <w:color w:val="1F497D" w:themeColor="text2"/>
                    <w:sz w:val="18"/>
                    <w:szCs w:val="18"/>
                  </w:rPr>
                </w:pPr>
                <w:r w:rsidRPr="007757A2">
                  <w:rPr>
                    <w:rFonts w:ascii="MS Gothic" w:eastAsia="MS Gothic" w:hAnsi="MS Gothic" w:cstheme="minorHAnsi" w:hint="eastAsia"/>
                    <w:color w:val="1F497D" w:themeColor="text2"/>
                    <w:sz w:val="18"/>
                    <w:szCs w:val="18"/>
                  </w:rPr>
                  <w:t>☐</w:t>
                </w:r>
              </w:p>
            </w:tc>
          </w:sdtContent>
        </w:sdt>
        <w:tc>
          <w:tcPr>
            <w:tcW w:w="1837" w:type="pct"/>
            <w:gridSpan w:val="3"/>
            <w:shd w:val="clear" w:color="auto" w:fill="FFFFFF" w:themeFill="background1"/>
          </w:tcPr>
          <w:p w14:paraId="36B05E5E" w14:textId="77777777" w:rsidR="009600CF" w:rsidRPr="00DA09B8" w:rsidRDefault="009600CF" w:rsidP="00F167F7">
            <w:pPr>
              <w:pStyle w:val="BodyText"/>
              <w:jc w:val="left"/>
              <w:rPr>
                <w:b/>
              </w:rPr>
            </w:pPr>
            <w:r w:rsidRPr="00DA09B8">
              <w:t>with a social objective</w:t>
            </w:r>
          </w:p>
        </w:tc>
      </w:tr>
      <w:tr w:rsidR="009600CF" w14:paraId="092C4C84" w14:textId="77777777" w:rsidTr="007B198D">
        <w:trPr>
          <w:gridBefore w:val="1"/>
          <w:wBefore w:w="128" w:type="pct"/>
          <w:trHeight w:val="907"/>
        </w:trPr>
        <w:tc>
          <w:tcPr>
            <w:tcW w:w="798" w:type="pct"/>
            <w:vMerge/>
            <w:shd w:val="clear" w:color="auto" w:fill="FFFFFF" w:themeFill="background1"/>
          </w:tcPr>
          <w:p w14:paraId="391F160F" w14:textId="77777777" w:rsidR="009600CF" w:rsidRPr="00CD233C" w:rsidRDefault="009600CF" w:rsidP="00F167F7">
            <w:pPr>
              <w:pStyle w:val="BodyText"/>
              <w:jc w:val="left"/>
            </w:pPr>
          </w:p>
        </w:tc>
        <w:tc>
          <w:tcPr>
            <w:tcW w:w="105" w:type="pct"/>
            <w:gridSpan w:val="3"/>
            <w:shd w:val="clear" w:color="auto" w:fill="FFFFFF" w:themeFill="background1"/>
          </w:tcPr>
          <w:p w14:paraId="789E1D0E" w14:textId="77777777" w:rsidR="009600CF" w:rsidRDefault="009600CF" w:rsidP="00F167F7">
            <w:pPr>
              <w:pStyle w:val="BodyText"/>
              <w:jc w:val="left"/>
              <w:rPr>
                <w:rFonts w:ascii="MS Gothic" w:eastAsia="MS Gothic" w:hAnsi="MS Gothic"/>
              </w:rPr>
            </w:pPr>
          </w:p>
        </w:tc>
        <w:sdt>
          <w:sdtPr>
            <w:rPr>
              <w:rFonts w:ascii="MS Gothic" w:eastAsia="MS Gothic" w:hAnsi="MS Gothic" w:hint="eastAsia"/>
              <w:sz w:val="18"/>
              <w:szCs w:val="18"/>
            </w:rPr>
            <w:id w:val="8193394"/>
            <w14:checkbox>
              <w14:checked w14:val="0"/>
              <w14:checkedState w14:val="2612" w14:font="MS Gothic"/>
              <w14:uncheckedState w14:val="2610" w14:font="MS Gothic"/>
            </w14:checkbox>
          </w:sdtPr>
          <w:sdtEndPr/>
          <w:sdtContent>
            <w:tc>
              <w:tcPr>
                <w:tcW w:w="184" w:type="pct"/>
                <w:gridSpan w:val="5"/>
                <w:shd w:val="clear" w:color="auto" w:fill="FFFFFF" w:themeFill="background1"/>
              </w:tcPr>
              <w:p w14:paraId="64CD9998" w14:textId="77777777" w:rsidR="009600CF" w:rsidRPr="007757A2" w:rsidRDefault="009600CF" w:rsidP="00F167F7">
                <w:pPr>
                  <w:pStyle w:val="BodyText"/>
                  <w:spacing w:before="120"/>
                  <w:jc w:val="left"/>
                  <w:rPr>
                    <w:rFonts w:ascii="MS Gothic" w:eastAsia="MS Gothic" w:hAnsi="MS Gothic"/>
                    <w:sz w:val="18"/>
                    <w:szCs w:val="18"/>
                  </w:rPr>
                </w:pPr>
                <w:r w:rsidRPr="007757A2">
                  <w:rPr>
                    <w:rFonts w:ascii="MS Gothic" w:eastAsia="MS Gothic" w:hAnsi="MS Gothic" w:hint="eastAsia"/>
                    <w:sz w:val="18"/>
                    <w:szCs w:val="18"/>
                  </w:rPr>
                  <w:t>☐</w:t>
                </w:r>
              </w:p>
            </w:tc>
          </w:sdtContent>
        </w:sdt>
        <w:tc>
          <w:tcPr>
            <w:tcW w:w="1468" w:type="pct"/>
            <w:gridSpan w:val="9"/>
            <w:shd w:val="clear" w:color="auto" w:fill="FFFFFF" w:themeFill="background1"/>
          </w:tcPr>
          <w:p w14:paraId="3E8A51A2" w14:textId="77777777" w:rsidR="009600CF" w:rsidRPr="007757A2" w:rsidRDefault="009600CF" w:rsidP="00F167F7">
            <w:pPr>
              <w:pStyle w:val="BodyText"/>
              <w:spacing w:before="120"/>
              <w:jc w:val="left"/>
              <w:rPr>
                <w:sz w:val="18"/>
                <w:szCs w:val="18"/>
              </w:rPr>
            </w:pPr>
            <w:r w:rsidRPr="007757A2">
              <w:rPr>
                <w:sz w:val="18"/>
                <w:szCs w:val="18"/>
              </w:rPr>
              <w:t xml:space="preserve">It will make a minimum of </w:t>
            </w:r>
            <w:r w:rsidRPr="007757A2">
              <w:rPr>
                <w:b/>
                <w:sz w:val="18"/>
                <w:szCs w:val="18"/>
              </w:rPr>
              <w:t>sustainable investments with a social objective: ___%</w:t>
            </w:r>
          </w:p>
        </w:tc>
        <w:sdt>
          <w:sdtPr>
            <w:rPr>
              <w:rFonts w:ascii="MS Gothic" w:eastAsia="MS Gothic" w:hAnsi="MS Gothic" w:hint="eastAsia"/>
              <w:sz w:val="18"/>
              <w:szCs w:val="18"/>
            </w:rPr>
            <w:id w:val="-747113021"/>
            <w14:checkbox>
              <w14:checked w14:val="1"/>
              <w14:checkedState w14:val="2612" w14:font="MS Gothic"/>
              <w14:uncheckedState w14:val="2610" w14:font="MS Gothic"/>
            </w14:checkbox>
          </w:sdtPr>
          <w:sdtEndPr/>
          <w:sdtContent>
            <w:tc>
              <w:tcPr>
                <w:tcW w:w="243" w:type="pct"/>
                <w:shd w:val="clear" w:color="auto" w:fill="FFFFFF" w:themeFill="background1"/>
              </w:tcPr>
              <w:p w14:paraId="5B6A7F87" w14:textId="77777777" w:rsidR="009600CF" w:rsidRPr="007757A2" w:rsidRDefault="009600CF" w:rsidP="00F167F7">
                <w:pPr>
                  <w:pStyle w:val="BodyText"/>
                  <w:spacing w:before="120"/>
                  <w:ind w:right="-393"/>
                  <w:jc w:val="left"/>
                  <w:rPr>
                    <w:rFonts w:ascii="MS Gothic" w:eastAsia="MS Gothic" w:hAnsi="MS Gothic"/>
                    <w:sz w:val="18"/>
                    <w:szCs w:val="18"/>
                  </w:rPr>
                </w:pPr>
                <w:r>
                  <w:rPr>
                    <w:rFonts w:ascii="MS Gothic" w:eastAsia="MS Gothic" w:hAnsi="MS Gothic" w:hint="eastAsia"/>
                    <w:sz w:val="18"/>
                    <w:szCs w:val="18"/>
                  </w:rPr>
                  <w:t>☒</w:t>
                </w:r>
              </w:p>
            </w:tc>
          </w:sdtContent>
        </w:sdt>
        <w:tc>
          <w:tcPr>
            <w:tcW w:w="2075" w:type="pct"/>
            <w:gridSpan w:val="4"/>
            <w:shd w:val="clear" w:color="auto" w:fill="FFFFFF" w:themeFill="background1"/>
          </w:tcPr>
          <w:p w14:paraId="1FAB496B" w14:textId="77777777" w:rsidR="009600CF" w:rsidRPr="007757A2" w:rsidRDefault="009600CF" w:rsidP="00F167F7">
            <w:pPr>
              <w:pStyle w:val="BodyText"/>
              <w:spacing w:before="120"/>
              <w:jc w:val="left"/>
              <w:rPr>
                <w:sz w:val="18"/>
                <w:szCs w:val="18"/>
              </w:rPr>
            </w:pPr>
            <w:r w:rsidRPr="007757A2">
              <w:rPr>
                <w:sz w:val="18"/>
                <w:szCs w:val="18"/>
              </w:rPr>
              <w:t xml:space="preserve">It promotes E/S characteristics, but </w:t>
            </w:r>
            <w:r w:rsidRPr="007757A2">
              <w:rPr>
                <w:b/>
                <w:sz w:val="18"/>
                <w:szCs w:val="18"/>
              </w:rPr>
              <w:t>will not make any sustainable investments</w:t>
            </w:r>
          </w:p>
        </w:tc>
      </w:tr>
      <w:tr w:rsidR="009600CF" w14:paraId="76FDD156" w14:textId="77777777" w:rsidTr="007B198D">
        <w:trPr>
          <w:gridBefore w:val="1"/>
          <w:wBefore w:w="128" w:type="pct"/>
          <w:trHeight w:val="562"/>
        </w:trPr>
        <w:tc>
          <w:tcPr>
            <w:tcW w:w="798" w:type="pct"/>
            <w:vMerge/>
            <w:shd w:val="clear" w:color="auto" w:fill="FFFFFF" w:themeFill="background1"/>
          </w:tcPr>
          <w:p w14:paraId="038011BD" w14:textId="77777777" w:rsidR="009600CF" w:rsidRPr="00CD233C" w:rsidRDefault="009600CF" w:rsidP="00F167F7">
            <w:pPr>
              <w:pStyle w:val="BodyText"/>
              <w:jc w:val="left"/>
            </w:pPr>
          </w:p>
        </w:tc>
        <w:tc>
          <w:tcPr>
            <w:tcW w:w="129" w:type="pct"/>
            <w:gridSpan w:val="4"/>
            <w:shd w:val="clear" w:color="auto" w:fill="FFFFFF" w:themeFill="background1"/>
          </w:tcPr>
          <w:p w14:paraId="63353276" w14:textId="77777777" w:rsidR="009600CF" w:rsidRDefault="009600CF" w:rsidP="00F167F7">
            <w:pPr>
              <w:pStyle w:val="BodyText"/>
              <w:jc w:val="left"/>
              <w:rPr>
                <w:rFonts w:ascii="MS Gothic" w:eastAsia="MS Gothic" w:hAnsi="MS Gothic"/>
              </w:rPr>
            </w:pPr>
          </w:p>
        </w:tc>
        <w:tc>
          <w:tcPr>
            <w:tcW w:w="3946" w:type="pct"/>
            <w:gridSpan w:val="18"/>
            <w:shd w:val="clear" w:color="auto" w:fill="FFFFFF" w:themeFill="background1"/>
          </w:tcPr>
          <w:p w14:paraId="0ADDB88E" w14:textId="77777777" w:rsidR="009600CF" w:rsidRPr="00F211BF" w:rsidRDefault="009600CF" w:rsidP="00F167F7">
            <w:pPr>
              <w:pStyle w:val="BodyText"/>
              <w:spacing w:before="480" w:after="120"/>
            </w:pPr>
            <w:r w:rsidRPr="001060D5">
              <w:rPr>
                <w:b/>
                <w:sz w:val="18"/>
                <w:szCs w:val="18"/>
              </w:rPr>
              <w:t>What environmental and/or social characteristics are promoted by this financial product?</w:t>
            </w:r>
            <w:r w:rsidRPr="001232D7">
              <w:t xml:space="preserve"> </w:t>
            </w:r>
          </w:p>
        </w:tc>
      </w:tr>
      <w:tr w:rsidR="009600CF" w14:paraId="72552A6C" w14:textId="77777777" w:rsidTr="007B198D">
        <w:trPr>
          <w:gridBefore w:val="1"/>
          <w:wBefore w:w="128" w:type="pct"/>
          <w:trHeight w:val="567"/>
        </w:trPr>
        <w:tc>
          <w:tcPr>
            <w:tcW w:w="1087" w:type="pct"/>
            <w:gridSpan w:val="9"/>
            <w:shd w:val="clear" w:color="auto" w:fill="FFFFFF" w:themeFill="background1"/>
          </w:tcPr>
          <w:p w14:paraId="0254C177" w14:textId="77777777" w:rsidR="009600CF" w:rsidRPr="00B712D7" w:rsidRDefault="009600CF" w:rsidP="00F167F7">
            <w:pPr>
              <w:pStyle w:val="BodyText"/>
              <w:spacing w:after="120"/>
              <w:rPr>
                <w:b/>
                <w:sz w:val="18"/>
                <w:szCs w:val="18"/>
              </w:rPr>
            </w:pPr>
            <w:r w:rsidRPr="003A1C01">
              <w:rPr>
                <w:rFonts w:ascii="Calibri" w:hAnsi="Calibri"/>
                <w:noProof/>
                <w:lang w:val="en-GB" w:eastAsia="en-GB"/>
              </w:rPr>
              <w:drawing>
                <wp:anchor distT="0" distB="0" distL="114300" distR="114300" simplePos="0" relativeHeight="251665408" behindDoc="0" locked="1" layoutInCell="1" allowOverlap="1" wp14:anchorId="78D74EC6" wp14:editId="76F5F58B">
                  <wp:simplePos x="0" y="0"/>
                  <wp:positionH relativeFrom="page">
                    <wp:posOffset>63500</wp:posOffset>
                  </wp:positionH>
                  <wp:positionV relativeFrom="paragraph">
                    <wp:posOffset>83030</wp:posOffset>
                  </wp:positionV>
                  <wp:extent cx="1306800" cy="489600"/>
                  <wp:effectExtent l="0" t="0" r="8255" b="5715"/>
                  <wp:wrapSquare wrapText="bothSides"/>
                  <wp:docPr id="244"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306800" cy="489600"/>
                          </a:xfrm>
                          <a:prstGeom prst="rect">
                            <a:avLst/>
                          </a:prstGeom>
                        </pic:spPr>
                      </pic:pic>
                    </a:graphicData>
                  </a:graphic>
                  <wp14:sizeRelH relativeFrom="margin">
                    <wp14:pctWidth>0</wp14:pctWidth>
                  </wp14:sizeRelH>
                  <wp14:sizeRelV relativeFrom="margin">
                    <wp14:pctHeight>0</wp14:pctHeight>
                  </wp14:sizeRelV>
                </wp:anchor>
              </w:drawing>
            </w:r>
          </w:p>
        </w:tc>
        <w:tc>
          <w:tcPr>
            <w:tcW w:w="3785" w:type="pct"/>
            <w:gridSpan w:val="14"/>
            <w:shd w:val="clear" w:color="auto" w:fill="FFFFFF" w:themeFill="background1"/>
          </w:tcPr>
          <w:p w14:paraId="6AD9E050" w14:textId="77777777" w:rsidR="001A634E" w:rsidRDefault="001A634E" w:rsidP="00F167F7">
            <w:pPr>
              <w:rPr>
                <w:szCs w:val="24"/>
              </w:rPr>
            </w:pPr>
          </w:p>
          <w:p w14:paraId="60FD381D" w14:textId="6A7EC772" w:rsidR="00E51B4C" w:rsidRDefault="00E51B4C" w:rsidP="00E51B4C">
            <w:pPr>
              <w:spacing w:after="240"/>
              <w:rPr>
                <w:szCs w:val="24"/>
              </w:rPr>
            </w:pPr>
            <w:r>
              <w:rPr>
                <w:szCs w:val="24"/>
                <w:lang w:val="en-US"/>
              </w:rPr>
              <w:t xml:space="preserve">The Fund promotes a cleaner environment and water quality by positive screening of  target companies against such factors as </w:t>
            </w:r>
            <w:r w:rsidRPr="00577BF5">
              <w:rPr>
                <w:szCs w:val="24"/>
              </w:rPr>
              <w:t>greenhouse gas emissions</w:t>
            </w:r>
            <w:r>
              <w:rPr>
                <w:szCs w:val="24"/>
              </w:rPr>
              <w:t>, the use of raw materials, contribution to the circular economy,</w:t>
            </w:r>
            <w:r w:rsidRPr="00577BF5">
              <w:rPr>
                <w:szCs w:val="24"/>
              </w:rPr>
              <w:t xml:space="preserve"> </w:t>
            </w:r>
            <w:r>
              <w:rPr>
                <w:szCs w:val="24"/>
              </w:rPr>
              <w:t xml:space="preserve">the use of renewable energy, recycling, the use of water and land and the production of waste by target companies, both prior to investment and over the investment life-cycle. </w:t>
            </w:r>
          </w:p>
          <w:p w14:paraId="6D5E8C3F" w14:textId="16207B33" w:rsidR="00E51B4C" w:rsidRDefault="00E51B4C" w:rsidP="00E51B4C">
            <w:pPr>
              <w:rPr>
                <w:szCs w:val="24"/>
              </w:rPr>
            </w:pPr>
            <w:r>
              <w:rPr>
                <w:szCs w:val="24"/>
                <w:lang w:val="en-US"/>
              </w:rPr>
              <w:lastRenderedPageBreak/>
              <w:t xml:space="preserve">The Fund promotes better social conditions, equality in the workforce and greater social diversity and cohesion by virtue of its positive screening of </w:t>
            </w:r>
            <w:r>
              <w:rPr>
                <w:szCs w:val="24"/>
              </w:rPr>
              <w:t xml:space="preserve">potential investments against such factors as the target company’s commitment to tackling inequality in pay and other </w:t>
            </w:r>
            <w:r w:rsidR="00116F5C">
              <w:rPr>
                <w:szCs w:val="24"/>
              </w:rPr>
              <w:t>respects</w:t>
            </w:r>
            <w:r>
              <w:rPr>
                <w:szCs w:val="24"/>
              </w:rPr>
              <w:t xml:space="preserve">, labour relations and employee wellbeing, investment in economically or socially disadvantaged communities, </w:t>
            </w:r>
            <w:r w:rsidRPr="00577BF5">
              <w:rPr>
                <w:szCs w:val="24"/>
              </w:rPr>
              <w:t xml:space="preserve">board diversity, senior female management representation </w:t>
            </w:r>
            <w:r>
              <w:rPr>
                <w:szCs w:val="24"/>
              </w:rPr>
              <w:t>for the social characteristics</w:t>
            </w:r>
            <w:r w:rsidRPr="00577BF5">
              <w:rPr>
                <w:szCs w:val="24"/>
              </w:rPr>
              <w:t xml:space="preserve">.  </w:t>
            </w:r>
          </w:p>
          <w:p w14:paraId="5F373350" w14:textId="77777777" w:rsidR="00E51B4C" w:rsidRDefault="00E51B4C" w:rsidP="00E51B4C">
            <w:pPr>
              <w:rPr>
                <w:szCs w:val="24"/>
              </w:rPr>
            </w:pPr>
          </w:p>
          <w:p w14:paraId="1D5B9292" w14:textId="71AADFF3" w:rsidR="00404F1E" w:rsidRDefault="00404F1E" w:rsidP="00404F1E">
            <w:pPr>
              <w:rPr>
                <w:szCs w:val="24"/>
              </w:rPr>
            </w:pPr>
            <w:r>
              <w:rPr>
                <w:szCs w:val="24"/>
              </w:rPr>
              <w:t>By applying the exclusionary screens set out herein, the Fund shall also promote positive social characteristics by channelling investment away from (and hence raising the cost of funding for) companies engaged in the production or manufacture of products or in the provision of services which are harmful to which are harmful to society (such as tobacco, alcohol or offensive weapons).</w:t>
            </w:r>
          </w:p>
          <w:p w14:paraId="36A00F25" w14:textId="77777777" w:rsidR="00CD016B" w:rsidRDefault="00CD016B" w:rsidP="00F167F7"/>
          <w:p w14:paraId="4C828F7B" w14:textId="0222CC1F" w:rsidR="002A710E" w:rsidRPr="001442E5" w:rsidRDefault="002A710E" w:rsidP="00EC2858">
            <w:pPr>
              <w:spacing w:after="160" w:line="252" w:lineRule="auto"/>
              <w:contextualSpacing/>
              <w:rPr>
                <w:rFonts w:cs="Arial"/>
                <w:lang w:val="en-GB"/>
              </w:rPr>
            </w:pPr>
            <w:r>
              <w:rPr>
                <w:rFonts w:cs="Arial"/>
                <w:lang w:val="en-US"/>
              </w:rPr>
              <w:t xml:space="preserve">The Fund will seek to encourage good governance through its SRI voting in respect </w:t>
            </w:r>
            <w:r w:rsidR="009B3BDE">
              <w:rPr>
                <w:rFonts w:cs="Arial"/>
                <w:lang w:val="en-US"/>
              </w:rPr>
              <w:t xml:space="preserve">of investments held </w:t>
            </w:r>
            <w:r>
              <w:rPr>
                <w:rFonts w:cs="Arial"/>
                <w:lang w:val="en-US"/>
              </w:rPr>
              <w:t xml:space="preserve">with the belief that this should </w:t>
            </w:r>
            <w:r>
              <w:rPr>
                <w:rFonts w:cs="Arial"/>
              </w:rPr>
              <w:t>advance principles of good corporate governance consistent with responsibilities to society as a whole</w:t>
            </w:r>
            <w:r>
              <w:rPr>
                <w:rFonts w:cs="Arial"/>
                <w:lang w:val="en-US"/>
              </w:rPr>
              <w:t xml:space="preserve"> and produce higher risk-adjusted returns over the long term.</w:t>
            </w:r>
          </w:p>
          <w:p w14:paraId="12EEE85E" w14:textId="0FA56FFB" w:rsidR="00A82A9A" w:rsidRPr="00EC2858" w:rsidRDefault="00A82A9A" w:rsidP="00EC2858">
            <w:pPr>
              <w:rPr>
                <w:bCs/>
                <w:sz w:val="18"/>
                <w:szCs w:val="18"/>
              </w:rPr>
            </w:pPr>
          </w:p>
        </w:tc>
      </w:tr>
      <w:tr w:rsidR="009600CF" w14:paraId="6953985D" w14:textId="77777777" w:rsidTr="007B198D">
        <w:trPr>
          <w:gridBefore w:val="1"/>
          <w:wBefore w:w="128" w:type="pct"/>
          <w:trHeight w:val="917"/>
        </w:trPr>
        <w:tc>
          <w:tcPr>
            <w:tcW w:w="867" w:type="pct"/>
            <w:gridSpan w:val="2"/>
            <w:vMerge w:val="restart"/>
            <w:shd w:val="clear" w:color="auto" w:fill="FFFFFF" w:themeFill="background1"/>
          </w:tcPr>
          <w:p w14:paraId="48496DFD" w14:textId="77777777" w:rsidR="009600CF" w:rsidRPr="00BE25C7" w:rsidRDefault="009600CF" w:rsidP="00F167F7">
            <w:pPr>
              <w:pStyle w:val="BodyText"/>
              <w:spacing w:before="240"/>
              <w:jc w:val="left"/>
              <w:rPr>
                <w:sz w:val="18"/>
                <w:szCs w:val="18"/>
              </w:rPr>
            </w:pPr>
            <w:r w:rsidRPr="00864778">
              <w:rPr>
                <w:b/>
                <w:sz w:val="18"/>
                <w:szCs w:val="18"/>
              </w:rPr>
              <w:lastRenderedPageBreak/>
              <w:t>Sustainability indicators</w:t>
            </w:r>
            <w:r w:rsidRPr="00864778">
              <w:rPr>
                <w:sz w:val="18"/>
                <w:szCs w:val="18"/>
              </w:rPr>
              <w:t xml:space="preserve"> measure how the environmental or social characteristics promoted by the financial product are attained.</w:t>
            </w:r>
          </w:p>
        </w:tc>
        <w:tc>
          <w:tcPr>
            <w:tcW w:w="106" w:type="pct"/>
            <w:gridSpan w:val="5"/>
            <w:shd w:val="clear" w:color="auto" w:fill="FFFFFF" w:themeFill="background1"/>
          </w:tcPr>
          <w:p w14:paraId="440D6D62" w14:textId="77777777" w:rsidR="009600CF" w:rsidRPr="00F211BF" w:rsidRDefault="009600CF" w:rsidP="00F167F7">
            <w:pPr>
              <w:pStyle w:val="BodyText"/>
            </w:pPr>
          </w:p>
        </w:tc>
        <w:tc>
          <w:tcPr>
            <w:tcW w:w="114" w:type="pct"/>
            <w:gridSpan w:val="2"/>
            <w:shd w:val="clear" w:color="auto" w:fill="FFFFFF" w:themeFill="background1"/>
          </w:tcPr>
          <w:p w14:paraId="522A26B6" w14:textId="77777777" w:rsidR="009600CF" w:rsidRPr="00F211BF" w:rsidRDefault="009600CF" w:rsidP="00A42DEF">
            <w:pPr>
              <w:pStyle w:val="Bullet1"/>
              <w:numPr>
                <w:ilvl w:val="0"/>
                <w:numId w:val="26"/>
              </w:numPr>
              <w:spacing w:before="120" w:after="120"/>
            </w:pPr>
          </w:p>
        </w:tc>
        <w:tc>
          <w:tcPr>
            <w:tcW w:w="3785" w:type="pct"/>
            <w:gridSpan w:val="14"/>
            <w:shd w:val="clear" w:color="auto" w:fill="FFFFFF" w:themeFill="background1"/>
          </w:tcPr>
          <w:p w14:paraId="361BF35A" w14:textId="77777777" w:rsidR="009600CF" w:rsidRPr="00B8219B" w:rsidRDefault="009600CF" w:rsidP="00F167F7">
            <w:pPr>
              <w:pStyle w:val="BodyText"/>
              <w:spacing w:before="120" w:after="120"/>
              <w:rPr>
                <w:sz w:val="18"/>
                <w:szCs w:val="18"/>
              </w:rPr>
            </w:pPr>
            <w:r w:rsidRPr="00B8219B">
              <w:rPr>
                <w:b/>
                <w:i/>
                <w:sz w:val="18"/>
                <w:szCs w:val="18"/>
              </w:rPr>
              <w:t>What sustainability indicators are used to measure the attainment of each of the environmental or social characteristics promoted by this financial product?</w:t>
            </w:r>
          </w:p>
        </w:tc>
      </w:tr>
      <w:tr w:rsidR="009600CF" w14:paraId="55F8F59B" w14:textId="77777777" w:rsidTr="007B198D">
        <w:trPr>
          <w:gridBefore w:val="1"/>
          <w:wBefore w:w="128" w:type="pct"/>
          <w:trHeight w:val="454"/>
        </w:trPr>
        <w:tc>
          <w:tcPr>
            <w:tcW w:w="867" w:type="pct"/>
            <w:gridSpan w:val="2"/>
            <w:vMerge/>
            <w:shd w:val="clear" w:color="auto" w:fill="FFFFFF" w:themeFill="background1"/>
          </w:tcPr>
          <w:p w14:paraId="47090B5D" w14:textId="77777777" w:rsidR="009600CF" w:rsidRPr="00CD233C" w:rsidRDefault="009600CF" w:rsidP="00F167F7">
            <w:pPr>
              <w:pStyle w:val="BodyText"/>
              <w:jc w:val="left"/>
            </w:pPr>
          </w:p>
        </w:tc>
        <w:tc>
          <w:tcPr>
            <w:tcW w:w="106" w:type="pct"/>
            <w:gridSpan w:val="5"/>
            <w:vMerge w:val="restart"/>
            <w:shd w:val="clear" w:color="auto" w:fill="FFFFFF" w:themeFill="background1"/>
          </w:tcPr>
          <w:p w14:paraId="4105D7FC" w14:textId="77777777" w:rsidR="009600CF" w:rsidRDefault="009600CF" w:rsidP="00F167F7">
            <w:pPr>
              <w:pStyle w:val="BodyText"/>
              <w:jc w:val="left"/>
              <w:rPr>
                <w:rFonts w:ascii="MS Gothic" w:eastAsia="MS Gothic" w:hAnsi="MS Gothic"/>
              </w:rPr>
            </w:pPr>
          </w:p>
        </w:tc>
        <w:tc>
          <w:tcPr>
            <w:tcW w:w="114" w:type="pct"/>
            <w:gridSpan w:val="2"/>
            <w:shd w:val="clear" w:color="auto" w:fill="FFFFFF" w:themeFill="background1"/>
          </w:tcPr>
          <w:p w14:paraId="183BB94A" w14:textId="77777777" w:rsidR="009600CF" w:rsidRPr="00F211BF" w:rsidRDefault="009600CF" w:rsidP="00F167F7">
            <w:pPr>
              <w:pStyle w:val="BodyText"/>
              <w:jc w:val="left"/>
            </w:pPr>
          </w:p>
        </w:tc>
        <w:tc>
          <w:tcPr>
            <w:tcW w:w="3785" w:type="pct"/>
            <w:gridSpan w:val="14"/>
            <w:shd w:val="clear" w:color="auto" w:fill="FFFFFF" w:themeFill="background1"/>
          </w:tcPr>
          <w:p w14:paraId="2003604B" w14:textId="181808C9" w:rsidR="009600CF" w:rsidRPr="002F6A74" w:rsidRDefault="009600CF" w:rsidP="00EF071D">
            <w:pPr>
              <w:pStyle w:val="ListParagraph"/>
              <w:numPr>
                <w:ilvl w:val="0"/>
                <w:numId w:val="27"/>
              </w:numPr>
              <w:shd w:val="clear" w:color="auto" w:fill="FFFFFF" w:themeFill="background1"/>
              <w:spacing w:after="160" w:line="259" w:lineRule="auto"/>
              <w:contextualSpacing/>
            </w:pPr>
            <w:r w:rsidRPr="002F6A74">
              <w:t>Although the Fund does not have a sustainable investment objective and does not commit to invest a minimum percentage in "sustainable investments" within the meaning of Article 2(17) of SFDR, certain principal adverse indicators ("</w:t>
            </w:r>
            <w:r w:rsidRPr="002F6A74">
              <w:rPr>
                <w:b/>
              </w:rPr>
              <w:t>PAIs</w:t>
            </w:r>
            <w:r w:rsidRPr="002F6A74">
              <w:t>") are used as a proxy to measure and test the environmental and social characteristics of the investments within Underlying Funds. Specifically, greenhouse gas ("</w:t>
            </w:r>
            <w:r w:rsidRPr="002F6A74">
              <w:rPr>
                <w:b/>
              </w:rPr>
              <w:t>GHG</w:t>
            </w:r>
            <w:r w:rsidRPr="002F6A74">
              <w:t xml:space="preserve">") emissions (Scope 1, 2 &amp; 3), GHG intensity, carbon footprint &amp; board diversity PAIs are used to calculate fund and company scores to measure and test how they are performing regarding environmental and social characteristics. These PAIs help the Fund in analysing the potential negative impact of underlying investments on the environment and society and the Fund will expand the list of PAIs considered as reporting by individual issuers and </w:t>
            </w:r>
            <w:r w:rsidR="00116F5C" w:rsidRPr="002F6A74">
              <w:t>third-party</w:t>
            </w:r>
            <w:r w:rsidRPr="002F6A74">
              <w:t xml:space="preserve"> data analysts improves over time. </w:t>
            </w:r>
          </w:p>
          <w:p w14:paraId="354C4F49" w14:textId="3A4C4148" w:rsidR="00F167F7" w:rsidRPr="002F6A74" w:rsidRDefault="00F167F7" w:rsidP="00EF071D">
            <w:pPr>
              <w:pStyle w:val="ListParagraph"/>
              <w:shd w:val="clear" w:color="auto" w:fill="FFFFFF" w:themeFill="background1"/>
              <w:spacing w:after="160" w:line="259" w:lineRule="auto"/>
              <w:contextualSpacing/>
            </w:pPr>
          </w:p>
          <w:p w14:paraId="03B5AE7A" w14:textId="76AE9FA6" w:rsidR="002F6A74" w:rsidRDefault="009600CF" w:rsidP="00EF071D">
            <w:pPr>
              <w:pStyle w:val="ListParagraph"/>
            </w:pPr>
            <w:r w:rsidRPr="002F6A74">
              <w:t>Additionally, the Investment Manager considers Sustainable Accounting Standards Board ("</w:t>
            </w:r>
            <w:r w:rsidRPr="002F6A74">
              <w:rPr>
                <w:b/>
              </w:rPr>
              <w:t>SASB</w:t>
            </w:r>
            <w:r w:rsidRPr="002F6A74">
              <w:t xml:space="preserve">") Scores provided by TrueValue Labs, a </w:t>
            </w:r>
            <w:r w:rsidR="00116F5C" w:rsidRPr="002F6A74">
              <w:t>third-party</w:t>
            </w:r>
            <w:r w:rsidRPr="002F6A74">
              <w:t xml:space="preserve"> data service provider which analyses various publicly available sources to assess ESG risks and opportunities against 26 ESG categories as defined by the SASB, along with an overall score and a volume score.  This SASB data feed covers 19,000+ companies with more than 12 years of history and assists in providing coverage for the Fund's look-through to investments within Underlying Funds. Where data is lacking, the Investment Manager will use supplemental data or industry averages to get a greater understanding of an investment’s environmental or social characteristics.</w:t>
            </w:r>
            <w:r w:rsidR="00782F7D" w:rsidRPr="002F6A74">
              <w:t xml:space="preserve">  </w:t>
            </w:r>
          </w:p>
          <w:p w14:paraId="5C77A4AF" w14:textId="77777777" w:rsidR="004F6A72" w:rsidRPr="002D79E0" w:rsidRDefault="004F6A72" w:rsidP="002D79E0">
            <w:pPr>
              <w:rPr>
                <w:color w:val="C00000"/>
              </w:rPr>
            </w:pPr>
          </w:p>
          <w:p w14:paraId="5A4E62A3" w14:textId="538C9DF0" w:rsidR="0081757E" w:rsidRDefault="00116F5C" w:rsidP="00EF071D">
            <w:pPr>
              <w:pStyle w:val="ListParagraph"/>
              <w:numPr>
                <w:ilvl w:val="0"/>
                <w:numId w:val="27"/>
              </w:numPr>
              <w:shd w:val="clear" w:color="auto" w:fill="FFFFFF" w:themeFill="background1"/>
              <w:spacing w:after="160" w:line="259" w:lineRule="auto"/>
              <w:contextualSpacing/>
            </w:pPr>
            <w:r>
              <w:t>The Investment</w:t>
            </w:r>
            <w:r w:rsidR="0081757E">
              <w:t xml:space="preserve"> Manager tracks the performance of a target company by </w:t>
            </w:r>
            <w:r w:rsidR="000C5247">
              <w:t>reviewing information provided by the company in its financial statements in accordance with relevant reporting requirements and public reporting and in due diligence information provided to the Investment Manager by the target company</w:t>
            </w:r>
            <w:r w:rsidR="00731A19">
              <w:t xml:space="preserve"> in one-to-one meetings.  The Investment Manager will have particular regard to this information for the purposes of its positive screening described above and to determine whether the target company derives revenue above the prescribed thresholds from any of the products or activities set out in the exclusionary screening process described herein. </w:t>
            </w:r>
          </w:p>
          <w:p w14:paraId="01E9A3ED" w14:textId="77777777" w:rsidR="000C5247" w:rsidRDefault="000C5247" w:rsidP="00EF071D">
            <w:pPr>
              <w:pStyle w:val="ListParagraph"/>
              <w:shd w:val="clear" w:color="auto" w:fill="FFFFFF" w:themeFill="background1"/>
              <w:spacing w:after="160" w:line="259" w:lineRule="auto"/>
              <w:contextualSpacing/>
            </w:pPr>
          </w:p>
          <w:p w14:paraId="5CDA5E56" w14:textId="3FE703EA" w:rsidR="00B805D1" w:rsidRDefault="00122DD8" w:rsidP="00EF071D">
            <w:pPr>
              <w:pStyle w:val="ListParagraph"/>
            </w:pPr>
            <w:r w:rsidRPr="002F6A74">
              <w:t xml:space="preserve">The Manager may consider the following environmental and social criteria which may vary depending on the sector as well as data availability: Environment:  </w:t>
            </w:r>
            <w:r w:rsidR="001817DE" w:rsidRPr="002F6A74">
              <w:t>r</w:t>
            </w:r>
            <w:r w:rsidRPr="002F6A74">
              <w:t xml:space="preserve">esource intensity; </w:t>
            </w:r>
            <w:r w:rsidR="001817DE" w:rsidRPr="002F6A74">
              <w:t>e</w:t>
            </w:r>
            <w:r w:rsidRPr="002F6A74">
              <w:t xml:space="preserve">nergy consumption; </w:t>
            </w:r>
            <w:r w:rsidR="001817DE" w:rsidRPr="002F6A74">
              <w:t>w</w:t>
            </w:r>
            <w:r w:rsidRPr="002F6A74">
              <w:t xml:space="preserve">aste management; and </w:t>
            </w:r>
            <w:r w:rsidR="001817DE" w:rsidRPr="002F6A74">
              <w:t>g</w:t>
            </w:r>
            <w:r w:rsidRPr="002F6A74">
              <w:t xml:space="preserve">reenhouse gas emissions. Social: </w:t>
            </w:r>
            <w:r w:rsidR="001817DE" w:rsidRPr="002F6A74">
              <w:t>c</w:t>
            </w:r>
            <w:r w:rsidRPr="002F6A74">
              <w:t xml:space="preserve">ontribution to local communities / regeneration; </w:t>
            </w:r>
            <w:r w:rsidR="001817DE" w:rsidRPr="002F6A74">
              <w:t>a</w:t>
            </w:r>
            <w:r w:rsidRPr="002F6A74">
              <w:t xml:space="preserve">voidance of controversies; </w:t>
            </w:r>
            <w:r w:rsidR="001817DE" w:rsidRPr="002F6A74">
              <w:t>e</w:t>
            </w:r>
            <w:r w:rsidRPr="002F6A74">
              <w:t>mployee diversity</w:t>
            </w:r>
            <w:r w:rsidR="00863EC6" w:rsidRPr="002F6A74">
              <w:t>. Governance: diversity and inclusion at senior management and board level.</w:t>
            </w:r>
            <w:r w:rsidRPr="002F6A74">
              <w:t xml:space="preserve">  </w:t>
            </w:r>
          </w:p>
          <w:p w14:paraId="11C500EC" w14:textId="77777777" w:rsidR="004F6A72" w:rsidRPr="002F6A74" w:rsidRDefault="004F6A72" w:rsidP="00EF071D">
            <w:pPr>
              <w:pStyle w:val="ListParagraph"/>
            </w:pPr>
          </w:p>
          <w:p w14:paraId="51ECA3D5" w14:textId="1C8E055F" w:rsidR="0028214E" w:rsidRDefault="00122DD8" w:rsidP="00EF071D">
            <w:pPr>
              <w:pStyle w:val="ListParagraph"/>
              <w:shd w:val="clear" w:color="auto" w:fill="FFFFFF" w:themeFill="background1"/>
              <w:spacing w:after="160" w:line="259" w:lineRule="auto"/>
              <w:contextualSpacing/>
            </w:pPr>
            <w:r w:rsidRPr="002F6A74">
              <w:t xml:space="preserve">When considering these criteria, the Manager aims to: </w:t>
            </w:r>
            <w:r w:rsidR="001817DE" w:rsidRPr="002F6A74">
              <w:t>u</w:t>
            </w:r>
            <w:r w:rsidRPr="002F6A74">
              <w:t>nderstand the business activity of the company and whether a component, core component or by-product of that company’s activities is, in the opinion of the Manager, a more sustainable way of doing business</w:t>
            </w:r>
            <w:r w:rsidR="001817DE" w:rsidRPr="002F6A74">
              <w:t xml:space="preserve">. </w:t>
            </w:r>
          </w:p>
          <w:p w14:paraId="01E3A01F" w14:textId="77777777" w:rsidR="004F6A72" w:rsidRDefault="004F6A72" w:rsidP="00EF071D">
            <w:pPr>
              <w:pStyle w:val="ListParagraph"/>
              <w:shd w:val="clear" w:color="auto" w:fill="FFFFFF" w:themeFill="background1"/>
              <w:spacing w:after="160" w:line="259" w:lineRule="auto"/>
              <w:contextualSpacing/>
            </w:pPr>
          </w:p>
          <w:p w14:paraId="7ABFF94E" w14:textId="660C1406" w:rsidR="0028214E" w:rsidRDefault="0028214E" w:rsidP="00EF071D">
            <w:pPr>
              <w:pStyle w:val="ListParagraph"/>
              <w:numPr>
                <w:ilvl w:val="0"/>
                <w:numId w:val="27"/>
              </w:numPr>
              <w:shd w:val="clear" w:color="auto" w:fill="FFFFFF" w:themeFill="background1"/>
              <w:spacing w:after="160" w:line="259" w:lineRule="auto"/>
              <w:contextualSpacing/>
            </w:pPr>
            <w:r>
              <w:rPr>
                <w:szCs w:val="24"/>
              </w:rPr>
              <w:t xml:space="preserve">The Investment Manager will favour </w:t>
            </w:r>
            <w:r w:rsidRPr="0028214E">
              <w:rPr>
                <w:szCs w:val="24"/>
              </w:rPr>
              <w:t>positive ESG score investments but may determine to invest in eligible assets with a lower ESG score where it is satisfied that such eligible asset has demonstrated a positive rate of change and it believes that a change by such target asset will have a material impact in promoting environmental or social characteristics. The Investment Manager will seek to understand the financial materiality associated with achieving a positive rate of change in ESG scores for an eligible asset, whether that is through management strategic initiatives with regards to ESG issues or other factors. The Investment Manager may engage with the eligible assets it invests in, ie where significant ESG risks or areas for improvement are identified, with a view to implementing such improvement. Where disclosure is not available, more cautious consideration is given to the investment.</w:t>
            </w:r>
            <w:r w:rsidRPr="005B2553">
              <w:t xml:space="preserve"> </w:t>
            </w:r>
          </w:p>
          <w:p w14:paraId="03E07BC5" w14:textId="433E726B" w:rsidR="008F49A7" w:rsidRPr="002F6A74" w:rsidRDefault="008F49A7" w:rsidP="00EC2858">
            <w:pPr>
              <w:shd w:val="clear" w:color="auto" w:fill="FFFFFF" w:themeFill="background1"/>
              <w:spacing w:after="160" w:line="259" w:lineRule="auto"/>
              <w:contextualSpacing/>
              <w:jc w:val="left"/>
            </w:pPr>
          </w:p>
        </w:tc>
      </w:tr>
      <w:tr w:rsidR="009600CF" w14:paraId="12CBB68B" w14:textId="77777777" w:rsidTr="007B198D">
        <w:trPr>
          <w:gridBefore w:val="1"/>
          <w:wBefore w:w="128" w:type="pct"/>
          <w:trHeight w:val="553"/>
        </w:trPr>
        <w:tc>
          <w:tcPr>
            <w:tcW w:w="867" w:type="pct"/>
            <w:gridSpan w:val="2"/>
            <w:vMerge/>
            <w:shd w:val="clear" w:color="auto" w:fill="FFFFFF" w:themeFill="background1"/>
          </w:tcPr>
          <w:p w14:paraId="4AF31F41" w14:textId="77777777" w:rsidR="009600CF" w:rsidRPr="00B0383C" w:rsidRDefault="009600CF" w:rsidP="00F167F7">
            <w:pPr>
              <w:pStyle w:val="BodyText"/>
              <w:jc w:val="left"/>
              <w:rPr>
                <w:b/>
              </w:rPr>
            </w:pPr>
          </w:p>
        </w:tc>
        <w:tc>
          <w:tcPr>
            <w:tcW w:w="106" w:type="pct"/>
            <w:gridSpan w:val="5"/>
            <w:vMerge/>
            <w:shd w:val="clear" w:color="auto" w:fill="FFFFFF" w:themeFill="background1"/>
          </w:tcPr>
          <w:p w14:paraId="6C02D701" w14:textId="77777777" w:rsidR="009600CF" w:rsidRDefault="009600CF" w:rsidP="00F167F7">
            <w:pPr>
              <w:pStyle w:val="BodyText"/>
              <w:jc w:val="left"/>
              <w:rPr>
                <w:rFonts w:ascii="MS Gothic" w:eastAsia="MS Gothic" w:hAnsi="MS Gothic"/>
              </w:rPr>
            </w:pPr>
          </w:p>
        </w:tc>
        <w:tc>
          <w:tcPr>
            <w:tcW w:w="114" w:type="pct"/>
            <w:gridSpan w:val="2"/>
            <w:shd w:val="clear" w:color="auto" w:fill="FFFFFF" w:themeFill="background1"/>
          </w:tcPr>
          <w:p w14:paraId="43FF2BC3" w14:textId="77777777" w:rsidR="009600CF" w:rsidRPr="003E54BE" w:rsidRDefault="009600CF" w:rsidP="00A42DEF">
            <w:pPr>
              <w:pStyle w:val="Bullet1"/>
              <w:numPr>
                <w:ilvl w:val="0"/>
                <w:numId w:val="26"/>
              </w:numPr>
              <w:spacing w:before="120" w:after="120"/>
              <w:rPr>
                <w:noProof/>
              </w:rPr>
            </w:pPr>
          </w:p>
        </w:tc>
        <w:tc>
          <w:tcPr>
            <w:tcW w:w="3785" w:type="pct"/>
            <w:gridSpan w:val="14"/>
            <w:shd w:val="clear" w:color="auto" w:fill="FFFFFF" w:themeFill="background1"/>
          </w:tcPr>
          <w:p w14:paraId="2F3EAEFC" w14:textId="77777777" w:rsidR="009600CF" w:rsidRPr="006A45AB" w:rsidRDefault="009600CF" w:rsidP="00F167F7">
            <w:pPr>
              <w:pStyle w:val="BodyText"/>
              <w:spacing w:before="120" w:after="120"/>
              <w:ind w:right="-108"/>
              <w:rPr>
                <w:b/>
                <w:i/>
              </w:rPr>
            </w:pPr>
            <w:r w:rsidRPr="00B8219B">
              <w:rPr>
                <w:b/>
                <w:i/>
                <w:sz w:val="18"/>
                <w:szCs w:val="18"/>
              </w:rPr>
              <w:t>What are the objectives of the sustainable investments that the financial product partially intends to make and how does the sustainable investment contribute to such objectives?</w:t>
            </w:r>
            <w:r w:rsidRPr="004C0EF8">
              <w:rPr>
                <w:b/>
                <w:i/>
              </w:rPr>
              <w:t xml:space="preserve"> </w:t>
            </w:r>
          </w:p>
        </w:tc>
      </w:tr>
      <w:tr w:rsidR="009600CF" w14:paraId="61CABCAD" w14:textId="77777777" w:rsidTr="007B198D">
        <w:trPr>
          <w:gridBefore w:val="1"/>
          <w:wBefore w:w="128" w:type="pct"/>
          <w:trHeight w:val="454"/>
        </w:trPr>
        <w:tc>
          <w:tcPr>
            <w:tcW w:w="867" w:type="pct"/>
            <w:gridSpan w:val="2"/>
            <w:vMerge/>
            <w:shd w:val="clear" w:color="auto" w:fill="FFFFFF" w:themeFill="background1"/>
          </w:tcPr>
          <w:p w14:paraId="2C26A06E" w14:textId="77777777" w:rsidR="009600CF" w:rsidRPr="00B0383C" w:rsidRDefault="009600CF" w:rsidP="00F167F7">
            <w:pPr>
              <w:pStyle w:val="BodyText"/>
              <w:jc w:val="left"/>
              <w:rPr>
                <w:b/>
              </w:rPr>
            </w:pPr>
          </w:p>
        </w:tc>
        <w:tc>
          <w:tcPr>
            <w:tcW w:w="106" w:type="pct"/>
            <w:gridSpan w:val="5"/>
            <w:shd w:val="clear" w:color="auto" w:fill="FFFFFF" w:themeFill="background1"/>
          </w:tcPr>
          <w:p w14:paraId="60E55CB3" w14:textId="77777777" w:rsidR="009600CF" w:rsidRDefault="009600CF" w:rsidP="00F167F7">
            <w:pPr>
              <w:pStyle w:val="BodyText"/>
              <w:jc w:val="left"/>
              <w:rPr>
                <w:rFonts w:ascii="MS Gothic" w:eastAsia="MS Gothic" w:hAnsi="MS Gothic"/>
              </w:rPr>
            </w:pPr>
          </w:p>
        </w:tc>
        <w:tc>
          <w:tcPr>
            <w:tcW w:w="114" w:type="pct"/>
            <w:gridSpan w:val="2"/>
            <w:shd w:val="clear" w:color="auto" w:fill="FFFFFF" w:themeFill="background1"/>
          </w:tcPr>
          <w:p w14:paraId="5A221678" w14:textId="77777777" w:rsidR="009600CF" w:rsidRPr="003E54BE" w:rsidRDefault="009600CF" w:rsidP="00F167F7">
            <w:pPr>
              <w:pStyle w:val="BodyText"/>
              <w:rPr>
                <w:noProof/>
              </w:rPr>
            </w:pPr>
          </w:p>
        </w:tc>
        <w:tc>
          <w:tcPr>
            <w:tcW w:w="3785" w:type="pct"/>
            <w:gridSpan w:val="14"/>
            <w:shd w:val="clear" w:color="auto" w:fill="FFFFFF" w:themeFill="background1"/>
          </w:tcPr>
          <w:p w14:paraId="68C4D275" w14:textId="77777777" w:rsidR="009600CF" w:rsidRPr="005907F8" w:rsidRDefault="009600CF" w:rsidP="00F167F7">
            <w:pPr>
              <w:pStyle w:val="BodyText"/>
              <w:jc w:val="left"/>
              <w:rPr>
                <w:sz w:val="18"/>
                <w:szCs w:val="18"/>
              </w:rPr>
            </w:pPr>
            <w:r>
              <w:rPr>
                <w:sz w:val="18"/>
                <w:szCs w:val="18"/>
              </w:rPr>
              <w:t>NA</w:t>
            </w:r>
          </w:p>
        </w:tc>
      </w:tr>
      <w:tr w:rsidR="009600CF" w14:paraId="1E19D123" w14:textId="77777777" w:rsidTr="007B198D">
        <w:trPr>
          <w:gridAfter w:val="2"/>
          <w:wAfter w:w="160" w:type="pct"/>
          <w:trHeight w:val="1044"/>
        </w:trPr>
        <w:tc>
          <w:tcPr>
            <w:tcW w:w="1082" w:type="pct"/>
            <w:gridSpan w:val="7"/>
            <w:shd w:val="clear" w:color="auto" w:fill="FFFFFF" w:themeFill="background1"/>
          </w:tcPr>
          <w:p w14:paraId="39B52173" w14:textId="77777777" w:rsidR="009600CF" w:rsidRDefault="009600CF" w:rsidP="00F167F7">
            <w:pPr>
              <w:pStyle w:val="BodyText"/>
              <w:jc w:val="left"/>
              <w:rPr>
                <w:rFonts w:ascii="MS Gothic" w:eastAsia="MS Gothic" w:hAnsi="MS Gothic"/>
              </w:rPr>
            </w:pPr>
            <w:r>
              <w:br w:type="page"/>
            </w:r>
            <w:r>
              <w:rPr>
                <w:noProof/>
                <w:lang w:val="en-GB" w:eastAsia="en-GB"/>
              </w:rPr>
              <w:drawing>
                <wp:anchor distT="0" distB="0" distL="114300" distR="114300" simplePos="0" relativeHeight="251662336" behindDoc="0" locked="1" layoutInCell="1" allowOverlap="1" wp14:anchorId="54D9B9D3" wp14:editId="3FBAB5E2">
                  <wp:simplePos x="0" y="0"/>
                  <wp:positionH relativeFrom="column">
                    <wp:posOffset>-68007</wp:posOffset>
                  </wp:positionH>
                  <wp:positionV relativeFrom="paragraph">
                    <wp:posOffset>-504190</wp:posOffset>
                  </wp:positionV>
                  <wp:extent cx="1522800" cy="5040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22800" cy="504000"/>
                          </a:xfrm>
                          <a:prstGeom prst="rect">
                            <a:avLst/>
                          </a:prstGeom>
                        </pic:spPr>
                      </pic:pic>
                    </a:graphicData>
                  </a:graphic>
                  <wp14:sizeRelH relativeFrom="margin">
                    <wp14:pctWidth>0</wp14:pctWidth>
                  </wp14:sizeRelH>
                  <wp14:sizeRelV relativeFrom="margin">
                    <wp14:pctHeight>0</wp14:pctHeight>
                  </wp14:sizeRelV>
                </wp:anchor>
              </w:drawing>
            </w:r>
          </w:p>
        </w:tc>
        <w:tc>
          <w:tcPr>
            <w:tcW w:w="240" w:type="pct"/>
            <w:gridSpan w:val="6"/>
            <w:shd w:val="clear" w:color="auto" w:fill="FFFFFF" w:themeFill="background1"/>
          </w:tcPr>
          <w:p w14:paraId="74D10221" w14:textId="77777777" w:rsidR="009600CF" w:rsidRPr="00215A2B" w:rsidRDefault="009600CF" w:rsidP="00A42DEF">
            <w:pPr>
              <w:pStyle w:val="Bullet1"/>
              <w:numPr>
                <w:ilvl w:val="0"/>
                <w:numId w:val="26"/>
              </w:numPr>
              <w:spacing w:before="120" w:after="120"/>
              <w:rPr>
                <w:noProof/>
              </w:rPr>
            </w:pPr>
          </w:p>
        </w:tc>
        <w:tc>
          <w:tcPr>
            <w:tcW w:w="3518" w:type="pct"/>
            <w:gridSpan w:val="9"/>
            <w:shd w:val="clear" w:color="auto" w:fill="FFFFFF" w:themeFill="background1"/>
          </w:tcPr>
          <w:p w14:paraId="114BA586" w14:textId="77777777" w:rsidR="009600CF" w:rsidRPr="004C0EF8" w:rsidRDefault="009600CF" w:rsidP="00F167F7">
            <w:pPr>
              <w:pStyle w:val="BodyText"/>
              <w:spacing w:before="120" w:after="120"/>
              <w:rPr>
                <w:b/>
                <w:i/>
              </w:rPr>
            </w:pPr>
            <w:r w:rsidRPr="00383C2D">
              <w:rPr>
                <w:b/>
                <w:i/>
              </w:rPr>
              <w:t>How do the sustainable investments that the financial product partially intends to make, not cause significant harm to any environmental or social sustainable investment objective?</w:t>
            </w:r>
          </w:p>
        </w:tc>
      </w:tr>
      <w:tr w:rsidR="009600CF" w14:paraId="6E7ECE93" w14:textId="77777777" w:rsidTr="007B198D">
        <w:trPr>
          <w:gridAfter w:val="2"/>
          <w:wAfter w:w="160" w:type="pct"/>
          <w:trHeight w:val="454"/>
        </w:trPr>
        <w:tc>
          <w:tcPr>
            <w:tcW w:w="1001" w:type="pct"/>
            <w:gridSpan w:val="4"/>
            <w:shd w:val="clear" w:color="auto" w:fill="FFFFFF" w:themeFill="background1"/>
            <w:vAlign w:val="bottom"/>
          </w:tcPr>
          <w:p w14:paraId="5F78DBD1" w14:textId="77777777" w:rsidR="009600CF" w:rsidRPr="00B0383C" w:rsidRDefault="009600CF" w:rsidP="00F167F7">
            <w:pPr>
              <w:pStyle w:val="BodyText"/>
              <w:spacing w:before="120"/>
              <w:jc w:val="left"/>
              <w:rPr>
                <w:b/>
              </w:rPr>
            </w:pPr>
          </w:p>
        </w:tc>
        <w:tc>
          <w:tcPr>
            <w:tcW w:w="104" w:type="pct"/>
            <w:gridSpan w:val="5"/>
            <w:shd w:val="clear" w:color="auto" w:fill="FFFFFF" w:themeFill="background1"/>
            <w:vAlign w:val="bottom"/>
          </w:tcPr>
          <w:p w14:paraId="3A95D24B" w14:textId="77777777" w:rsidR="009600CF" w:rsidRDefault="009600CF" w:rsidP="00F167F7">
            <w:pPr>
              <w:pStyle w:val="BodyText"/>
              <w:jc w:val="left"/>
              <w:rPr>
                <w:rFonts w:ascii="MS Gothic" w:eastAsia="MS Gothic" w:hAnsi="MS Gothic"/>
              </w:rPr>
            </w:pPr>
          </w:p>
        </w:tc>
        <w:tc>
          <w:tcPr>
            <w:tcW w:w="217" w:type="pct"/>
            <w:gridSpan w:val="4"/>
            <w:vMerge w:val="restart"/>
            <w:shd w:val="clear" w:color="auto" w:fill="FFFFFF" w:themeFill="background1"/>
            <w:vAlign w:val="bottom"/>
          </w:tcPr>
          <w:p w14:paraId="20B15A45" w14:textId="77777777" w:rsidR="009600CF" w:rsidRPr="00974047" w:rsidRDefault="009600CF" w:rsidP="00F167F7">
            <w:pPr>
              <w:pStyle w:val="BodyText"/>
              <w:spacing w:before="120" w:after="120"/>
              <w:jc w:val="left"/>
              <w:rPr>
                <w:rFonts w:ascii="Calibri" w:eastAsia="Calibri" w:hAnsi="Calibri"/>
                <w:b/>
                <w:bCs/>
                <w:i/>
                <w:iCs/>
                <w:noProof/>
                <w:szCs w:val="22"/>
              </w:rPr>
            </w:pPr>
          </w:p>
        </w:tc>
        <w:tc>
          <w:tcPr>
            <w:tcW w:w="299" w:type="pct"/>
            <w:gridSpan w:val="4"/>
            <w:shd w:val="clear" w:color="auto" w:fill="FFFFFF" w:themeFill="background1"/>
            <w:vAlign w:val="bottom"/>
          </w:tcPr>
          <w:p w14:paraId="4EE0C66F" w14:textId="77777777" w:rsidR="009600CF" w:rsidRPr="00E5484C" w:rsidRDefault="009600CF" w:rsidP="00F167F7">
            <w:pPr>
              <w:pStyle w:val="BodyText"/>
              <w:spacing w:before="120" w:after="120"/>
              <w:jc w:val="left"/>
            </w:pPr>
          </w:p>
        </w:tc>
        <w:tc>
          <w:tcPr>
            <w:tcW w:w="3219" w:type="pct"/>
            <w:gridSpan w:val="5"/>
            <w:shd w:val="clear" w:color="auto" w:fill="FFFFFF" w:themeFill="background1"/>
            <w:vAlign w:val="bottom"/>
          </w:tcPr>
          <w:p w14:paraId="20296119" w14:textId="77777777" w:rsidR="009600CF" w:rsidRPr="00E5484C" w:rsidRDefault="009600CF" w:rsidP="00F167F7">
            <w:pPr>
              <w:pStyle w:val="BodyText"/>
              <w:spacing w:before="120" w:after="120"/>
              <w:jc w:val="left"/>
            </w:pPr>
            <w:r>
              <w:t>NA</w:t>
            </w:r>
          </w:p>
        </w:tc>
      </w:tr>
      <w:tr w:rsidR="009600CF" w14:paraId="19B01D29" w14:textId="77777777" w:rsidTr="007B198D">
        <w:trPr>
          <w:gridAfter w:val="2"/>
          <w:wAfter w:w="160" w:type="pct"/>
          <w:trHeight w:val="489"/>
        </w:trPr>
        <w:tc>
          <w:tcPr>
            <w:tcW w:w="1001" w:type="pct"/>
            <w:gridSpan w:val="4"/>
            <w:shd w:val="clear" w:color="auto" w:fill="FFFFFF" w:themeFill="background1"/>
            <w:vAlign w:val="bottom"/>
          </w:tcPr>
          <w:p w14:paraId="11C7DD15" w14:textId="77777777" w:rsidR="009600CF" w:rsidRPr="002A7996" w:rsidRDefault="009600CF" w:rsidP="00F167F7">
            <w:pPr>
              <w:pStyle w:val="BodyText"/>
              <w:spacing w:before="120"/>
              <w:jc w:val="left"/>
              <w:rPr>
                <w:b/>
              </w:rPr>
            </w:pPr>
          </w:p>
        </w:tc>
        <w:tc>
          <w:tcPr>
            <w:tcW w:w="104" w:type="pct"/>
            <w:gridSpan w:val="5"/>
            <w:vMerge w:val="restart"/>
            <w:shd w:val="clear" w:color="auto" w:fill="FFFFFF" w:themeFill="background1"/>
          </w:tcPr>
          <w:p w14:paraId="3B7935E3" w14:textId="77777777" w:rsidR="009600CF" w:rsidRDefault="009600CF" w:rsidP="00F167F7">
            <w:pPr>
              <w:pStyle w:val="BodyText"/>
              <w:jc w:val="left"/>
              <w:rPr>
                <w:rFonts w:ascii="MS Gothic" w:eastAsia="MS Gothic" w:hAnsi="MS Gothic"/>
              </w:rPr>
            </w:pPr>
          </w:p>
        </w:tc>
        <w:tc>
          <w:tcPr>
            <w:tcW w:w="217" w:type="pct"/>
            <w:gridSpan w:val="4"/>
            <w:vMerge/>
            <w:shd w:val="clear" w:color="auto" w:fill="FFFFFF" w:themeFill="background1"/>
          </w:tcPr>
          <w:p w14:paraId="34151557" w14:textId="77777777" w:rsidR="009600CF" w:rsidRPr="00974047" w:rsidRDefault="009600CF" w:rsidP="00F167F7">
            <w:pPr>
              <w:pStyle w:val="BodyText"/>
              <w:spacing w:before="120" w:after="120"/>
              <w:jc w:val="left"/>
              <w:rPr>
                <w:rFonts w:ascii="Calibri" w:eastAsia="Calibri" w:hAnsi="Calibri"/>
                <w:b/>
                <w:bCs/>
                <w:i/>
                <w:iCs/>
                <w:noProof/>
                <w:szCs w:val="22"/>
              </w:rPr>
            </w:pPr>
          </w:p>
        </w:tc>
        <w:tc>
          <w:tcPr>
            <w:tcW w:w="299" w:type="pct"/>
            <w:gridSpan w:val="4"/>
            <w:vMerge w:val="restart"/>
            <w:shd w:val="clear" w:color="auto" w:fill="FFFFFF" w:themeFill="background1"/>
          </w:tcPr>
          <w:p w14:paraId="27E07636" w14:textId="77777777" w:rsidR="009600CF" w:rsidRDefault="009600CF" w:rsidP="00A42DEF">
            <w:pPr>
              <w:pStyle w:val="Bullet2"/>
              <w:numPr>
                <w:ilvl w:val="1"/>
                <w:numId w:val="26"/>
              </w:numPr>
              <w:spacing w:before="120" w:after="120"/>
            </w:pPr>
          </w:p>
        </w:tc>
        <w:tc>
          <w:tcPr>
            <w:tcW w:w="3219" w:type="pct"/>
            <w:gridSpan w:val="5"/>
            <w:vMerge w:val="restart"/>
            <w:shd w:val="clear" w:color="auto" w:fill="FFFFFF" w:themeFill="background1"/>
          </w:tcPr>
          <w:p w14:paraId="6923B3A8" w14:textId="77777777" w:rsidR="009600CF" w:rsidRPr="00DC68AC" w:rsidRDefault="009600CF" w:rsidP="00F167F7">
            <w:pPr>
              <w:pStyle w:val="BodyText"/>
              <w:spacing w:before="120" w:after="120"/>
            </w:pPr>
            <w:r w:rsidRPr="00383C2D">
              <w:rPr>
                <w:i/>
              </w:rPr>
              <w:t>How have the indicators for adverse impacts on sustainability factors been taken into account?</w:t>
            </w:r>
            <w:r w:rsidRPr="00F36AB4">
              <w:t xml:space="preserve"> </w:t>
            </w:r>
          </w:p>
        </w:tc>
      </w:tr>
      <w:tr w:rsidR="009600CF" w14:paraId="36ADB288" w14:textId="77777777" w:rsidTr="007B198D">
        <w:trPr>
          <w:gridAfter w:val="2"/>
          <w:wAfter w:w="160" w:type="pct"/>
          <w:trHeight w:val="489"/>
        </w:trPr>
        <w:tc>
          <w:tcPr>
            <w:tcW w:w="1001" w:type="pct"/>
            <w:gridSpan w:val="4"/>
            <w:vMerge w:val="restart"/>
            <w:shd w:val="clear" w:color="auto" w:fill="FFFFFF" w:themeFill="background1"/>
            <w:vAlign w:val="bottom"/>
          </w:tcPr>
          <w:p w14:paraId="145B5B4E" w14:textId="77777777" w:rsidR="009600CF" w:rsidRPr="002A7996" w:rsidRDefault="009600CF" w:rsidP="00F167F7">
            <w:pPr>
              <w:pStyle w:val="BodyText"/>
              <w:shd w:val="clear" w:color="auto" w:fill="F2F2F2" w:themeFill="background1" w:themeFillShade="F2"/>
              <w:spacing w:before="120"/>
              <w:jc w:val="left"/>
              <w:rPr>
                <w:b/>
              </w:rPr>
            </w:pPr>
            <w:r w:rsidRPr="002A7996">
              <w:rPr>
                <w:b/>
              </w:rPr>
              <w:t xml:space="preserve">Principal adverse impacts </w:t>
            </w:r>
            <w:r w:rsidRPr="002A7996">
              <w:t xml:space="preserve">are the most significant negative impacts of </w:t>
            </w:r>
            <w:r>
              <w:br/>
            </w:r>
            <w:r w:rsidRPr="002A7996">
              <w:t xml:space="preserve">investment decisions on sustainability factors relating to environmental, social and employee </w:t>
            </w:r>
            <w:r>
              <w:br/>
            </w:r>
            <w:r w:rsidRPr="002A7996">
              <w:t>matters, respect for human rights, anti</w:t>
            </w:r>
            <w:r w:rsidRPr="002A7996">
              <w:rPr>
                <w:rFonts w:ascii="Cambria Math" w:hAnsi="Cambria Math" w:cs="Cambria Math"/>
              </w:rPr>
              <w:t>‐</w:t>
            </w:r>
            <w:r w:rsidRPr="002A7996">
              <w:t>corruption and anti</w:t>
            </w:r>
            <w:r w:rsidRPr="002A7996">
              <w:rPr>
                <w:rFonts w:ascii="Cambria Math" w:hAnsi="Cambria Math" w:cs="Cambria Math"/>
              </w:rPr>
              <w:t>‐</w:t>
            </w:r>
            <w:r w:rsidRPr="002A7996">
              <w:t>bribery matters.</w:t>
            </w:r>
          </w:p>
        </w:tc>
        <w:tc>
          <w:tcPr>
            <w:tcW w:w="104" w:type="pct"/>
            <w:gridSpan w:val="5"/>
            <w:vMerge/>
            <w:shd w:val="clear" w:color="auto" w:fill="FFFFFF" w:themeFill="background1"/>
          </w:tcPr>
          <w:p w14:paraId="0FCA75AA" w14:textId="77777777" w:rsidR="009600CF" w:rsidRDefault="009600CF" w:rsidP="00F167F7">
            <w:pPr>
              <w:pStyle w:val="BodyText"/>
              <w:jc w:val="left"/>
              <w:rPr>
                <w:rFonts w:ascii="MS Gothic" w:eastAsia="MS Gothic" w:hAnsi="MS Gothic"/>
              </w:rPr>
            </w:pPr>
          </w:p>
        </w:tc>
        <w:tc>
          <w:tcPr>
            <w:tcW w:w="217" w:type="pct"/>
            <w:gridSpan w:val="4"/>
            <w:vMerge/>
            <w:shd w:val="clear" w:color="auto" w:fill="FFFFFF" w:themeFill="background1"/>
          </w:tcPr>
          <w:p w14:paraId="6510A251" w14:textId="77777777" w:rsidR="009600CF" w:rsidRPr="00974047" w:rsidRDefault="009600CF" w:rsidP="00F167F7">
            <w:pPr>
              <w:pStyle w:val="BodyText"/>
              <w:spacing w:before="120" w:after="120"/>
              <w:jc w:val="left"/>
              <w:rPr>
                <w:rFonts w:ascii="Calibri" w:eastAsia="Calibri" w:hAnsi="Calibri"/>
                <w:b/>
                <w:bCs/>
                <w:i/>
                <w:iCs/>
                <w:noProof/>
                <w:szCs w:val="22"/>
              </w:rPr>
            </w:pPr>
          </w:p>
        </w:tc>
        <w:tc>
          <w:tcPr>
            <w:tcW w:w="299" w:type="pct"/>
            <w:gridSpan w:val="4"/>
            <w:vMerge/>
            <w:shd w:val="clear" w:color="auto" w:fill="FFFFFF" w:themeFill="background1"/>
          </w:tcPr>
          <w:p w14:paraId="4A2FFA08" w14:textId="77777777" w:rsidR="009600CF" w:rsidRDefault="009600CF" w:rsidP="00A42DEF">
            <w:pPr>
              <w:pStyle w:val="Bullet2"/>
              <w:numPr>
                <w:ilvl w:val="1"/>
                <w:numId w:val="26"/>
              </w:numPr>
              <w:spacing w:before="120" w:after="120"/>
            </w:pPr>
          </w:p>
        </w:tc>
        <w:tc>
          <w:tcPr>
            <w:tcW w:w="3219" w:type="pct"/>
            <w:gridSpan w:val="5"/>
            <w:vMerge/>
            <w:shd w:val="clear" w:color="auto" w:fill="FFFFFF" w:themeFill="background1"/>
          </w:tcPr>
          <w:p w14:paraId="2D97E15F" w14:textId="77777777" w:rsidR="009600CF" w:rsidRPr="00383C2D" w:rsidRDefault="009600CF" w:rsidP="00F167F7">
            <w:pPr>
              <w:pStyle w:val="BodyText"/>
              <w:spacing w:before="120" w:after="120"/>
              <w:rPr>
                <w:i/>
              </w:rPr>
            </w:pPr>
          </w:p>
        </w:tc>
      </w:tr>
      <w:tr w:rsidR="009600CF" w14:paraId="2EC9E841" w14:textId="77777777" w:rsidTr="007B198D">
        <w:trPr>
          <w:gridAfter w:val="2"/>
          <w:wAfter w:w="160" w:type="pct"/>
          <w:trHeight w:val="454"/>
        </w:trPr>
        <w:tc>
          <w:tcPr>
            <w:tcW w:w="1001" w:type="pct"/>
            <w:gridSpan w:val="4"/>
            <w:vMerge/>
            <w:shd w:val="clear" w:color="auto" w:fill="FFFFFF" w:themeFill="background1"/>
            <w:vAlign w:val="center"/>
          </w:tcPr>
          <w:p w14:paraId="40A6EE03" w14:textId="77777777" w:rsidR="009600CF" w:rsidRPr="002A7996" w:rsidRDefault="009600CF" w:rsidP="00F167F7">
            <w:pPr>
              <w:pStyle w:val="BodyText"/>
              <w:spacing w:before="120"/>
              <w:jc w:val="left"/>
              <w:rPr>
                <w:b/>
              </w:rPr>
            </w:pPr>
          </w:p>
        </w:tc>
        <w:tc>
          <w:tcPr>
            <w:tcW w:w="104" w:type="pct"/>
            <w:gridSpan w:val="5"/>
            <w:shd w:val="clear" w:color="auto" w:fill="FFFFFF" w:themeFill="background1"/>
          </w:tcPr>
          <w:p w14:paraId="5F05C46D" w14:textId="77777777" w:rsidR="009600CF" w:rsidRDefault="009600CF" w:rsidP="00F167F7">
            <w:pPr>
              <w:pStyle w:val="BodyText"/>
              <w:jc w:val="left"/>
              <w:rPr>
                <w:rFonts w:ascii="MS Gothic" w:eastAsia="MS Gothic" w:hAnsi="MS Gothic"/>
              </w:rPr>
            </w:pPr>
          </w:p>
        </w:tc>
        <w:tc>
          <w:tcPr>
            <w:tcW w:w="217" w:type="pct"/>
            <w:gridSpan w:val="4"/>
            <w:vMerge/>
            <w:shd w:val="clear" w:color="auto" w:fill="FFFFFF" w:themeFill="background1"/>
          </w:tcPr>
          <w:p w14:paraId="7B4D738B" w14:textId="77777777" w:rsidR="009600CF" w:rsidRPr="00974047" w:rsidRDefault="009600CF" w:rsidP="00F167F7">
            <w:pPr>
              <w:pStyle w:val="BodyText"/>
              <w:spacing w:before="120" w:after="120"/>
              <w:jc w:val="left"/>
              <w:rPr>
                <w:rFonts w:ascii="Calibri" w:eastAsia="Calibri" w:hAnsi="Calibri"/>
                <w:b/>
                <w:bCs/>
                <w:i/>
                <w:iCs/>
                <w:noProof/>
                <w:szCs w:val="22"/>
              </w:rPr>
            </w:pPr>
          </w:p>
        </w:tc>
        <w:tc>
          <w:tcPr>
            <w:tcW w:w="299" w:type="pct"/>
            <w:gridSpan w:val="4"/>
            <w:shd w:val="clear" w:color="auto" w:fill="FFFFFF" w:themeFill="background1"/>
          </w:tcPr>
          <w:p w14:paraId="6556958D" w14:textId="77777777" w:rsidR="009600CF" w:rsidRDefault="009600CF" w:rsidP="00F167F7">
            <w:pPr>
              <w:pStyle w:val="BodyText"/>
              <w:spacing w:before="120" w:after="120"/>
            </w:pPr>
          </w:p>
        </w:tc>
        <w:tc>
          <w:tcPr>
            <w:tcW w:w="3219" w:type="pct"/>
            <w:gridSpan w:val="5"/>
            <w:shd w:val="clear" w:color="auto" w:fill="FFFFFF" w:themeFill="background1"/>
          </w:tcPr>
          <w:p w14:paraId="45B43E61" w14:textId="77777777" w:rsidR="009600CF" w:rsidRPr="006046A6" w:rsidRDefault="009600CF" w:rsidP="00F167F7">
            <w:pPr>
              <w:pStyle w:val="BodyText"/>
              <w:spacing w:before="120" w:after="120"/>
            </w:pPr>
            <w:r>
              <w:t>NA</w:t>
            </w:r>
          </w:p>
        </w:tc>
      </w:tr>
      <w:tr w:rsidR="009600CF" w14:paraId="086AC981" w14:textId="77777777" w:rsidTr="007B198D">
        <w:trPr>
          <w:gridAfter w:val="2"/>
          <w:wAfter w:w="160" w:type="pct"/>
          <w:trHeight w:val="773"/>
        </w:trPr>
        <w:tc>
          <w:tcPr>
            <w:tcW w:w="1001" w:type="pct"/>
            <w:gridSpan w:val="4"/>
            <w:vMerge/>
            <w:shd w:val="clear" w:color="auto" w:fill="FFFFFF" w:themeFill="background1"/>
          </w:tcPr>
          <w:p w14:paraId="12DFD75D" w14:textId="77777777" w:rsidR="009600CF" w:rsidRPr="002A7996" w:rsidRDefault="009600CF" w:rsidP="00F167F7">
            <w:pPr>
              <w:pStyle w:val="BodyText"/>
              <w:spacing w:before="120"/>
              <w:jc w:val="left"/>
              <w:rPr>
                <w:b/>
              </w:rPr>
            </w:pPr>
          </w:p>
        </w:tc>
        <w:tc>
          <w:tcPr>
            <w:tcW w:w="104" w:type="pct"/>
            <w:gridSpan w:val="5"/>
            <w:shd w:val="clear" w:color="auto" w:fill="FFFFFF" w:themeFill="background1"/>
          </w:tcPr>
          <w:p w14:paraId="3055C4C8" w14:textId="77777777" w:rsidR="009600CF" w:rsidRDefault="009600CF" w:rsidP="00F167F7">
            <w:pPr>
              <w:pStyle w:val="BodyText"/>
              <w:jc w:val="left"/>
              <w:rPr>
                <w:rFonts w:ascii="MS Gothic" w:eastAsia="MS Gothic" w:hAnsi="MS Gothic"/>
              </w:rPr>
            </w:pPr>
          </w:p>
        </w:tc>
        <w:tc>
          <w:tcPr>
            <w:tcW w:w="217" w:type="pct"/>
            <w:gridSpan w:val="4"/>
            <w:vMerge/>
            <w:shd w:val="clear" w:color="auto" w:fill="FFFFFF" w:themeFill="background1"/>
          </w:tcPr>
          <w:p w14:paraId="656AF6C2" w14:textId="77777777" w:rsidR="009600CF" w:rsidRPr="00974047" w:rsidRDefault="009600CF" w:rsidP="00F167F7">
            <w:pPr>
              <w:pStyle w:val="BodyText"/>
              <w:spacing w:before="120" w:after="120"/>
              <w:jc w:val="left"/>
              <w:rPr>
                <w:rFonts w:ascii="Calibri" w:eastAsia="Calibri" w:hAnsi="Calibri"/>
                <w:b/>
                <w:bCs/>
                <w:i/>
                <w:iCs/>
                <w:noProof/>
                <w:szCs w:val="22"/>
              </w:rPr>
            </w:pPr>
          </w:p>
        </w:tc>
        <w:tc>
          <w:tcPr>
            <w:tcW w:w="299" w:type="pct"/>
            <w:gridSpan w:val="4"/>
            <w:shd w:val="clear" w:color="auto" w:fill="FFFFFF" w:themeFill="background1"/>
          </w:tcPr>
          <w:p w14:paraId="538962F7" w14:textId="77777777" w:rsidR="009600CF" w:rsidRDefault="009600CF" w:rsidP="00A42DEF">
            <w:pPr>
              <w:pStyle w:val="Bullet2"/>
              <w:numPr>
                <w:ilvl w:val="1"/>
                <w:numId w:val="26"/>
              </w:numPr>
              <w:spacing w:before="120" w:after="120"/>
            </w:pPr>
          </w:p>
        </w:tc>
        <w:tc>
          <w:tcPr>
            <w:tcW w:w="3219" w:type="pct"/>
            <w:gridSpan w:val="5"/>
            <w:shd w:val="clear" w:color="auto" w:fill="FFFFFF" w:themeFill="background1"/>
          </w:tcPr>
          <w:p w14:paraId="58A68C8C" w14:textId="6673C58F" w:rsidR="009600CF" w:rsidRPr="00383C2D" w:rsidRDefault="009600CF" w:rsidP="00F167F7">
            <w:pPr>
              <w:pStyle w:val="BodyText"/>
              <w:spacing w:before="120" w:after="120"/>
              <w:rPr>
                <w:i/>
              </w:rPr>
            </w:pPr>
            <w:r w:rsidRPr="00383C2D">
              <w:rPr>
                <w:i/>
              </w:rPr>
              <w:t>How are the sustainable investments aligned with the OECD Guidelines for Multinational Enterprises and the UN Guiding Principles on Business and Human Rights? Details:</w:t>
            </w:r>
          </w:p>
        </w:tc>
      </w:tr>
      <w:tr w:rsidR="009600CF" w14:paraId="42A32CDA" w14:textId="77777777" w:rsidTr="007B198D">
        <w:trPr>
          <w:gridAfter w:val="2"/>
          <w:wAfter w:w="160" w:type="pct"/>
          <w:trHeight w:val="597"/>
        </w:trPr>
        <w:tc>
          <w:tcPr>
            <w:tcW w:w="1001" w:type="pct"/>
            <w:gridSpan w:val="4"/>
            <w:vMerge/>
            <w:shd w:val="clear" w:color="auto" w:fill="FFFFFF" w:themeFill="background1"/>
          </w:tcPr>
          <w:p w14:paraId="03C109E5" w14:textId="77777777" w:rsidR="009600CF" w:rsidRPr="002A7996" w:rsidRDefault="009600CF" w:rsidP="00F167F7">
            <w:pPr>
              <w:pStyle w:val="BodyText"/>
              <w:spacing w:before="120"/>
              <w:jc w:val="left"/>
              <w:rPr>
                <w:b/>
              </w:rPr>
            </w:pPr>
          </w:p>
        </w:tc>
        <w:tc>
          <w:tcPr>
            <w:tcW w:w="104" w:type="pct"/>
            <w:gridSpan w:val="5"/>
            <w:shd w:val="clear" w:color="auto" w:fill="FFFFFF" w:themeFill="background1"/>
          </w:tcPr>
          <w:p w14:paraId="1FA55A3B" w14:textId="77777777" w:rsidR="009600CF" w:rsidRDefault="009600CF" w:rsidP="00F167F7">
            <w:pPr>
              <w:pStyle w:val="BodyText"/>
              <w:jc w:val="left"/>
              <w:rPr>
                <w:rFonts w:ascii="MS Gothic" w:eastAsia="MS Gothic" w:hAnsi="MS Gothic"/>
              </w:rPr>
            </w:pPr>
          </w:p>
        </w:tc>
        <w:tc>
          <w:tcPr>
            <w:tcW w:w="217" w:type="pct"/>
            <w:gridSpan w:val="4"/>
            <w:shd w:val="clear" w:color="auto" w:fill="FFFFFF" w:themeFill="background1"/>
          </w:tcPr>
          <w:p w14:paraId="25833A37" w14:textId="77777777" w:rsidR="009600CF" w:rsidRPr="00974047" w:rsidRDefault="009600CF" w:rsidP="00F167F7">
            <w:pPr>
              <w:pStyle w:val="BodyText"/>
              <w:spacing w:before="120" w:after="120"/>
              <w:jc w:val="left"/>
              <w:rPr>
                <w:rFonts w:ascii="Calibri" w:eastAsia="Calibri" w:hAnsi="Calibri"/>
                <w:b/>
                <w:bCs/>
                <w:i/>
                <w:iCs/>
                <w:noProof/>
                <w:szCs w:val="22"/>
              </w:rPr>
            </w:pPr>
          </w:p>
        </w:tc>
        <w:tc>
          <w:tcPr>
            <w:tcW w:w="299" w:type="pct"/>
            <w:gridSpan w:val="4"/>
            <w:shd w:val="clear" w:color="auto" w:fill="FFFFFF" w:themeFill="background1"/>
          </w:tcPr>
          <w:p w14:paraId="365D0CF9" w14:textId="77777777" w:rsidR="009600CF" w:rsidRDefault="009600CF" w:rsidP="00F167F7">
            <w:pPr>
              <w:pStyle w:val="BodyText"/>
            </w:pPr>
          </w:p>
        </w:tc>
        <w:tc>
          <w:tcPr>
            <w:tcW w:w="3219" w:type="pct"/>
            <w:gridSpan w:val="5"/>
            <w:shd w:val="clear" w:color="auto" w:fill="FFFFFF" w:themeFill="background1"/>
          </w:tcPr>
          <w:p w14:paraId="2AC780C1" w14:textId="77777777" w:rsidR="009600CF" w:rsidRPr="006046A6" w:rsidRDefault="009600CF" w:rsidP="00F167F7">
            <w:pPr>
              <w:pStyle w:val="BodyText"/>
              <w:spacing w:before="120" w:after="120"/>
            </w:pPr>
            <w:r>
              <w:t>NA</w:t>
            </w:r>
          </w:p>
        </w:tc>
      </w:tr>
      <w:tr w:rsidR="009600CF" w14:paraId="0E37A955" w14:textId="77777777" w:rsidTr="007B198D">
        <w:trPr>
          <w:gridAfter w:val="2"/>
          <w:wAfter w:w="160" w:type="pct"/>
          <w:trHeight w:val="340"/>
        </w:trPr>
        <w:tc>
          <w:tcPr>
            <w:tcW w:w="1001" w:type="pct"/>
            <w:gridSpan w:val="4"/>
            <w:vMerge/>
            <w:shd w:val="clear" w:color="auto" w:fill="FFFFFF" w:themeFill="background1"/>
          </w:tcPr>
          <w:p w14:paraId="08FC7EA4" w14:textId="77777777" w:rsidR="009600CF" w:rsidRPr="002A7996" w:rsidRDefault="009600CF" w:rsidP="00F167F7">
            <w:pPr>
              <w:pStyle w:val="BodyText"/>
              <w:spacing w:before="120"/>
              <w:jc w:val="left"/>
              <w:rPr>
                <w:b/>
              </w:rPr>
            </w:pPr>
          </w:p>
        </w:tc>
        <w:tc>
          <w:tcPr>
            <w:tcW w:w="104" w:type="pct"/>
            <w:gridSpan w:val="5"/>
            <w:shd w:val="clear" w:color="auto" w:fill="FFFFFF" w:themeFill="background1"/>
          </w:tcPr>
          <w:p w14:paraId="59930C14" w14:textId="77777777" w:rsidR="009600CF" w:rsidRDefault="009600CF" w:rsidP="00F167F7">
            <w:pPr>
              <w:pStyle w:val="BodyText"/>
              <w:jc w:val="left"/>
              <w:rPr>
                <w:rFonts w:ascii="MS Gothic" w:eastAsia="MS Gothic" w:hAnsi="MS Gothic"/>
              </w:rPr>
            </w:pPr>
          </w:p>
        </w:tc>
        <w:tc>
          <w:tcPr>
            <w:tcW w:w="217" w:type="pct"/>
            <w:gridSpan w:val="4"/>
            <w:shd w:val="clear" w:color="auto" w:fill="FFFFFF" w:themeFill="background1"/>
          </w:tcPr>
          <w:p w14:paraId="79434570" w14:textId="77777777" w:rsidR="009600CF" w:rsidRPr="00974047" w:rsidRDefault="009600CF" w:rsidP="00F167F7">
            <w:pPr>
              <w:pStyle w:val="BodyText"/>
              <w:spacing w:before="120" w:after="120"/>
              <w:jc w:val="left"/>
              <w:rPr>
                <w:rFonts w:ascii="Calibri" w:eastAsia="Calibri" w:hAnsi="Calibri"/>
                <w:b/>
                <w:bCs/>
                <w:i/>
                <w:iCs/>
                <w:noProof/>
                <w:szCs w:val="22"/>
              </w:rPr>
            </w:pPr>
          </w:p>
        </w:tc>
        <w:tc>
          <w:tcPr>
            <w:tcW w:w="299" w:type="pct"/>
            <w:gridSpan w:val="4"/>
            <w:shd w:val="clear" w:color="auto" w:fill="FFFFFF" w:themeFill="background1"/>
          </w:tcPr>
          <w:p w14:paraId="24CBC24A" w14:textId="77777777" w:rsidR="009600CF" w:rsidRDefault="009600CF" w:rsidP="00F167F7">
            <w:pPr>
              <w:pStyle w:val="BodyText"/>
            </w:pPr>
          </w:p>
        </w:tc>
        <w:tc>
          <w:tcPr>
            <w:tcW w:w="3219" w:type="pct"/>
            <w:gridSpan w:val="5"/>
            <w:shd w:val="clear" w:color="auto" w:fill="FFFFFF" w:themeFill="background1"/>
          </w:tcPr>
          <w:p w14:paraId="37E95A3D" w14:textId="77777777" w:rsidR="009600CF" w:rsidRPr="006046A6" w:rsidRDefault="009600CF" w:rsidP="00F167F7">
            <w:pPr>
              <w:pStyle w:val="BodyText"/>
              <w:spacing w:before="120" w:after="120"/>
            </w:pPr>
          </w:p>
        </w:tc>
      </w:tr>
      <w:tr w:rsidR="009600CF" w14:paraId="1344907F" w14:textId="77777777" w:rsidTr="007B198D">
        <w:trPr>
          <w:gridAfter w:val="2"/>
          <w:wAfter w:w="160" w:type="pct"/>
          <w:trHeight w:val="597"/>
        </w:trPr>
        <w:tc>
          <w:tcPr>
            <w:tcW w:w="1001" w:type="pct"/>
            <w:gridSpan w:val="4"/>
            <w:shd w:val="clear" w:color="auto" w:fill="FFFFFF" w:themeFill="background1"/>
          </w:tcPr>
          <w:p w14:paraId="0867ED30" w14:textId="77777777" w:rsidR="009600CF" w:rsidRPr="002A7996" w:rsidRDefault="009600CF" w:rsidP="00F167F7">
            <w:pPr>
              <w:pStyle w:val="BodyText"/>
              <w:spacing w:before="120"/>
              <w:jc w:val="left"/>
              <w:rPr>
                <w:b/>
              </w:rPr>
            </w:pPr>
          </w:p>
        </w:tc>
        <w:tc>
          <w:tcPr>
            <w:tcW w:w="104" w:type="pct"/>
            <w:gridSpan w:val="5"/>
            <w:shd w:val="clear" w:color="auto" w:fill="FFFFFF" w:themeFill="background1"/>
          </w:tcPr>
          <w:p w14:paraId="1602EC9C" w14:textId="77777777" w:rsidR="009600CF" w:rsidRDefault="009600CF" w:rsidP="00F167F7">
            <w:pPr>
              <w:pStyle w:val="BodyText"/>
              <w:jc w:val="left"/>
              <w:rPr>
                <w:rFonts w:ascii="MS Gothic" w:eastAsia="MS Gothic" w:hAnsi="MS Gothic"/>
              </w:rPr>
            </w:pPr>
          </w:p>
        </w:tc>
        <w:tc>
          <w:tcPr>
            <w:tcW w:w="217" w:type="pct"/>
            <w:gridSpan w:val="4"/>
            <w:shd w:val="clear" w:color="auto" w:fill="FFFFFF" w:themeFill="background1"/>
          </w:tcPr>
          <w:p w14:paraId="093BC98F" w14:textId="77777777" w:rsidR="009600CF" w:rsidRPr="00974047" w:rsidRDefault="009600CF" w:rsidP="00F167F7">
            <w:pPr>
              <w:pStyle w:val="BodyText"/>
              <w:spacing w:before="120" w:after="120"/>
              <w:jc w:val="left"/>
              <w:rPr>
                <w:rFonts w:ascii="Calibri" w:eastAsia="Calibri" w:hAnsi="Calibri"/>
                <w:b/>
                <w:bCs/>
                <w:i/>
                <w:iCs/>
                <w:noProof/>
                <w:szCs w:val="22"/>
              </w:rPr>
            </w:pPr>
          </w:p>
        </w:tc>
        <w:tc>
          <w:tcPr>
            <w:tcW w:w="3518" w:type="pct"/>
            <w:gridSpan w:val="9"/>
            <w:shd w:val="clear" w:color="auto" w:fill="FFFFFF" w:themeFill="background1"/>
          </w:tcPr>
          <w:p w14:paraId="55B01EDB" w14:textId="7F9A14EF" w:rsidR="009600CF" w:rsidRPr="003D1053" w:rsidRDefault="009600CF" w:rsidP="00F167F7">
            <w:pPr>
              <w:pStyle w:val="BodyText"/>
              <w:shd w:val="clear" w:color="auto" w:fill="FEEAD6"/>
              <w:spacing w:before="120" w:after="120"/>
              <w:rPr>
                <w:i/>
                <w:sz w:val="18"/>
              </w:rPr>
            </w:pPr>
            <w:r w:rsidRPr="003D1053">
              <w:rPr>
                <w:i/>
                <w:sz w:val="18"/>
              </w:rPr>
              <w:t>Notwithstanding that the Fund has not committed to making sustainable investments (as set out above) or Taxonomy-aligned investments (as set out below), nor does the-Fund purport to have any sustainable investments or Taxonomy-aligned investments within its portfolio, there is a requirement to include the following disclosure:</w:t>
            </w:r>
          </w:p>
          <w:p w14:paraId="609CA254" w14:textId="17E97B27" w:rsidR="009600CF" w:rsidRPr="003D1053" w:rsidRDefault="009600CF" w:rsidP="00F167F7">
            <w:pPr>
              <w:pStyle w:val="BodyText"/>
              <w:shd w:val="clear" w:color="auto" w:fill="FEEAD6"/>
              <w:spacing w:before="120" w:after="120"/>
            </w:pPr>
            <w:r w:rsidRPr="003D1053">
              <w:t xml:space="preserve">The EU Taxonomy sets out a “do not significant harm” principle by which Taxonomy-aligned investments should not significantly harm EU Taxonomy objectives and is accompanied by specific EU criteria. </w:t>
            </w:r>
          </w:p>
          <w:p w14:paraId="740C6A7F" w14:textId="20DA8D1E" w:rsidR="009600CF" w:rsidRPr="003D1053" w:rsidRDefault="009600CF" w:rsidP="00F167F7">
            <w:pPr>
              <w:pStyle w:val="BodyText"/>
              <w:shd w:val="clear" w:color="auto" w:fill="FEEAD6"/>
              <w:spacing w:before="120" w:after="120"/>
            </w:pPr>
            <w:r w:rsidRPr="003D1053">
              <w:t xml:space="preserve">The “do no significant harm” principle applies only to those investments underlying the financial product that take into account the EU criteria for environmentally sustainable economic activities. The investments underlying the remaining portion </w:t>
            </w:r>
            <w:r w:rsidRPr="003D1053">
              <w:lastRenderedPageBreak/>
              <w:t>of this financial product do not take into account the EU criteria for environmentally sustainable economic activities.</w:t>
            </w:r>
          </w:p>
          <w:p w14:paraId="1B5E7F41" w14:textId="2342865F" w:rsidR="009600CF" w:rsidRPr="00806A6B" w:rsidRDefault="009600CF" w:rsidP="00F167F7">
            <w:pPr>
              <w:pStyle w:val="BodyText"/>
              <w:spacing w:before="120" w:after="120"/>
              <w:rPr>
                <w:i/>
              </w:rPr>
            </w:pPr>
          </w:p>
        </w:tc>
      </w:tr>
      <w:tr w:rsidR="009600CF" w14:paraId="4EDC0E51" w14:textId="77777777" w:rsidTr="007B198D">
        <w:trPr>
          <w:gridAfter w:val="1"/>
          <w:wAfter w:w="121" w:type="pct"/>
          <w:trHeight w:val="903"/>
        </w:trPr>
        <w:tc>
          <w:tcPr>
            <w:tcW w:w="1239" w:type="pct"/>
            <w:gridSpan w:val="11"/>
            <w:shd w:val="clear" w:color="auto" w:fill="FFFFFF" w:themeFill="background1"/>
          </w:tcPr>
          <w:p w14:paraId="48680E3C" w14:textId="77777777" w:rsidR="009600CF" w:rsidRDefault="009600CF" w:rsidP="00F167F7">
            <w:pPr>
              <w:pStyle w:val="BodyText"/>
              <w:jc w:val="left"/>
              <w:rPr>
                <w:rFonts w:ascii="MS Gothic" w:eastAsia="MS Gothic" w:hAnsi="MS Gothic"/>
              </w:rPr>
            </w:pPr>
            <w:r w:rsidRPr="003A1C01">
              <w:rPr>
                <w:rFonts w:ascii="Calibri" w:hAnsi="Calibri"/>
                <w:noProof/>
                <w:lang w:val="en-GB" w:eastAsia="en-GB"/>
              </w:rPr>
              <w:lastRenderedPageBreak/>
              <w:drawing>
                <wp:anchor distT="0" distB="0" distL="114300" distR="114300" simplePos="0" relativeHeight="251668480" behindDoc="0" locked="1" layoutInCell="1" allowOverlap="1" wp14:anchorId="78E07DF5" wp14:editId="574D1E8F">
                  <wp:simplePos x="0" y="0"/>
                  <wp:positionH relativeFrom="column">
                    <wp:posOffset>1347</wp:posOffset>
                  </wp:positionH>
                  <wp:positionV relativeFrom="paragraph">
                    <wp:posOffset>511</wp:posOffset>
                  </wp:positionV>
                  <wp:extent cx="1476000" cy="522000"/>
                  <wp:effectExtent l="0" t="0" r="0" b="0"/>
                  <wp:wrapSquare wrapText="bothSides"/>
                  <wp:docPr id="240"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476000" cy="522000"/>
                          </a:xfrm>
                          <a:prstGeom prst="rect">
                            <a:avLst/>
                          </a:prstGeom>
                        </pic:spPr>
                      </pic:pic>
                    </a:graphicData>
                  </a:graphic>
                  <wp14:sizeRelH relativeFrom="margin">
                    <wp14:pctWidth>0</wp14:pctWidth>
                  </wp14:sizeRelH>
                  <wp14:sizeRelV relativeFrom="margin">
                    <wp14:pctHeight>0</wp14:pctHeight>
                  </wp14:sizeRelV>
                </wp:anchor>
              </w:drawing>
            </w:r>
          </w:p>
        </w:tc>
        <w:tc>
          <w:tcPr>
            <w:tcW w:w="3640" w:type="pct"/>
            <w:gridSpan w:val="12"/>
            <w:shd w:val="clear" w:color="auto" w:fill="FFFFFF" w:themeFill="background1"/>
            <w:vAlign w:val="center"/>
          </w:tcPr>
          <w:p w14:paraId="5AF6F32E" w14:textId="77777777" w:rsidR="009600CF" w:rsidRPr="00D32644" w:rsidRDefault="009600CF" w:rsidP="00F167F7">
            <w:pPr>
              <w:pStyle w:val="BodyText"/>
              <w:jc w:val="left"/>
              <w:rPr>
                <w:b/>
                <w:sz w:val="18"/>
                <w:szCs w:val="18"/>
              </w:rPr>
            </w:pPr>
            <w:r w:rsidRPr="00D32644">
              <w:rPr>
                <w:b/>
                <w:sz w:val="18"/>
                <w:szCs w:val="18"/>
              </w:rPr>
              <w:t>Does this financial product consider principal adverse impacts on sustainability factors?</w:t>
            </w:r>
          </w:p>
        </w:tc>
      </w:tr>
      <w:tr w:rsidR="009600CF" w14:paraId="7942EC51" w14:textId="77777777" w:rsidTr="007B198D">
        <w:trPr>
          <w:gridAfter w:val="1"/>
          <w:wAfter w:w="121" w:type="pct"/>
          <w:trHeight w:val="541"/>
        </w:trPr>
        <w:tc>
          <w:tcPr>
            <w:tcW w:w="1239" w:type="pct"/>
            <w:gridSpan w:val="11"/>
            <w:shd w:val="clear" w:color="auto" w:fill="FFFFFF" w:themeFill="background1"/>
          </w:tcPr>
          <w:p w14:paraId="6B1E14C3" w14:textId="77777777" w:rsidR="009600CF" w:rsidRDefault="009600CF" w:rsidP="00F167F7">
            <w:pPr>
              <w:pStyle w:val="BodyText"/>
              <w:jc w:val="left"/>
              <w:rPr>
                <w:rFonts w:ascii="MS Gothic" w:eastAsia="MS Gothic" w:hAnsi="MS Gothic"/>
              </w:rPr>
            </w:pPr>
          </w:p>
        </w:tc>
        <w:sdt>
          <w:sdtPr>
            <w:rPr>
              <w:rFonts w:asciiTheme="minorHAnsi" w:eastAsia="Calibri" w:hAnsiTheme="minorHAnsi" w:cstheme="minorHAnsi"/>
              <w:bCs/>
              <w:iCs/>
              <w:noProof/>
              <w:szCs w:val="22"/>
            </w:rPr>
            <w:id w:val="-1617056199"/>
            <w14:checkbox>
              <w14:checked w14:val="0"/>
              <w14:checkedState w14:val="00FC" w14:font="Wingdings"/>
              <w14:uncheckedState w14:val="2610" w14:font="MS Gothic"/>
            </w14:checkbox>
          </w:sdtPr>
          <w:sdtEndPr/>
          <w:sdtContent>
            <w:tc>
              <w:tcPr>
                <w:tcW w:w="200" w:type="pct"/>
                <w:gridSpan w:val="4"/>
                <w:shd w:val="clear" w:color="auto" w:fill="FFFFFF" w:themeFill="background1"/>
              </w:tcPr>
              <w:p w14:paraId="7C0F66C9" w14:textId="77777777" w:rsidR="009600CF" w:rsidRPr="002627DB" w:rsidRDefault="009600CF" w:rsidP="00F167F7">
                <w:pPr>
                  <w:pStyle w:val="BodyText"/>
                  <w:jc w:val="left"/>
                  <w:rPr>
                    <w:rFonts w:asciiTheme="minorHAnsi" w:eastAsia="Calibri" w:hAnsiTheme="minorHAnsi" w:cstheme="minorHAnsi"/>
                    <w:b/>
                    <w:bCs/>
                    <w:i/>
                    <w:iCs/>
                    <w:noProof/>
                    <w:szCs w:val="22"/>
                  </w:rPr>
                </w:pPr>
                <w:r>
                  <w:rPr>
                    <w:rFonts w:ascii="MS Gothic" w:eastAsia="MS Gothic" w:hAnsi="MS Gothic" w:cstheme="minorHAnsi" w:hint="eastAsia"/>
                    <w:bCs/>
                    <w:iCs/>
                    <w:noProof/>
                    <w:szCs w:val="22"/>
                  </w:rPr>
                  <w:t>☐</w:t>
                </w:r>
              </w:p>
            </w:tc>
          </w:sdtContent>
        </w:sdt>
        <w:tc>
          <w:tcPr>
            <w:tcW w:w="313" w:type="pct"/>
            <w:gridSpan w:val="3"/>
            <w:shd w:val="clear" w:color="auto" w:fill="FFFFFF" w:themeFill="background1"/>
          </w:tcPr>
          <w:p w14:paraId="75E7273A" w14:textId="77777777" w:rsidR="009600CF" w:rsidRPr="002627DB" w:rsidRDefault="009600CF" w:rsidP="00F167F7">
            <w:pPr>
              <w:pStyle w:val="BodyText"/>
              <w:jc w:val="left"/>
              <w:rPr>
                <w:rFonts w:asciiTheme="minorHAnsi" w:hAnsiTheme="minorHAnsi" w:cstheme="minorHAnsi"/>
              </w:rPr>
            </w:pPr>
            <w:r w:rsidRPr="00D32644">
              <w:rPr>
                <w:rFonts w:asciiTheme="minorHAnsi" w:hAnsiTheme="minorHAnsi" w:cstheme="minorHAnsi"/>
                <w:b/>
                <w:sz w:val="18"/>
                <w:szCs w:val="18"/>
              </w:rPr>
              <w:t>Yes</w:t>
            </w:r>
            <w:r>
              <w:rPr>
                <w:rFonts w:asciiTheme="minorHAnsi" w:hAnsiTheme="minorHAnsi" w:cstheme="minorHAnsi"/>
                <w:b/>
                <w:sz w:val="18"/>
                <w:szCs w:val="18"/>
              </w:rPr>
              <w:t>,</w:t>
            </w:r>
          </w:p>
        </w:tc>
        <w:tc>
          <w:tcPr>
            <w:tcW w:w="3127" w:type="pct"/>
            <w:gridSpan w:val="5"/>
            <w:shd w:val="clear" w:color="auto" w:fill="FFFFFF" w:themeFill="background1"/>
          </w:tcPr>
          <w:p w14:paraId="3FD8BFCD" w14:textId="77777777" w:rsidR="009600CF" w:rsidRPr="00E5484C" w:rsidRDefault="009600CF" w:rsidP="00F167F7">
            <w:pPr>
              <w:pStyle w:val="BodyText"/>
              <w:spacing w:after="120"/>
            </w:pPr>
            <w:r w:rsidRPr="00934BE2">
              <w:t xml:space="preserve"> ______ </w:t>
            </w:r>
          </w:p>
        </w:tc>
      </w:tr>
      <w:tr w:rsidR="009600CF" w14:paraId="78C59942" w14:textId="77777777" w:rsidTr="007B198D">
        <w:trPr>
          <w:gridAfter w:val="1"/>
          <w:wAfter w:w="121" w:type="pct"/>
          <w:trHeight w:val="541"/>
        </w:trPr>
        <w:tc>
          <w:tcPr>
            <w:tcW w:w="1239" w:type="pct"/>
            <w:gridSpan w:val="11"/>
            <w:shd w:val="clear" w:color="auto" w:fill="FFFFFF" w:themeFill="background1"/>
          </w:tcPr>
          <w:p w14:paraId="1770DF42" w14:textId="77777777" w:rsidR="009600CF" w:rsidRDefault="009600CF" w:rsidP="00F167F7">
            <w:pPr>
              <w:pStyle w:val="BodyText"/>
              <w:jc w:val="left"/>
              <w:rPr>
                <w:rFonts w:ascii="MS Gothic" w:eastAsia="MS Gothic" w:hAnsi="MS Gothic"/>
              </w:rPr>
            </w:pPr>
          </w:p>
        </w:tc>
        <w:sdt>
          <w:sdtPr>
            <w:rPr>
              <w:rFonts w:asciiTheme="minorHAnsi" w:eastAsia="Calibri" w:hAnsiTheme="minorHAnsi" w:cstheme="minorHAnsi"/>
              <w:bCs/>
              <w:iCs/>
              <w:noProof/>
              <w:szCs w:val="22"/>
            </w:rPr>
            <w:id w:val="1601840606"/>
            <w14:checkbox>
              <w14:checked w14:val="1"/>
              <w14:checkedState w14:val="2612" w14:font="MS Gothic"/>
              <w14:uncheckedState w14:val="2610" w14:font="MS Gothic"/>
            </w14:checkbox>
          </w:sdtPr>
          <w:sdtEndPr/>
          <w:sdtContent>
            <w:tc>
              <w:tcPr>
                <w:tcW w:w="200" w:type="pct"/>
                <w:gridSpan w:val="4"/>
                <w:shd w:val="clear" w:color="auto" w:fill="FFFFFF" w:themeFill="background1"/>
              </w:tcPr>
              <w:p w14:paraId="603195F4" w14:textId="77777777" w:rsidR="009600CF" w:rsidRPr="002627DB" w:rsidRDefault="009600CF" w:rsidP="00EF071D">
                <w:pPr>
                  <w:pStyle w:val="BodyText"/>
                  <w:rPr>
                    <w:rFonts w:asciiTheme="minorHAnsi" w:eastAsia="Calibri" w:hAnsiTheme="minorHAnsi" w:cstheme="minorHAnsi"/>
                    <w:bCs/>
                    <w:iCs/>
                    <w:noProof/>
                    <w:szCs w:val="22"/>
                  </w:rPr>
                </w:pPr>
                <w:r>
                  <w:rPr>
                    <w:rFonts w:ascii="MS Gothic" w:eastAsia="MS Gothic" w:hAnsi="MS Gothic" w:cstheme="minorHAnsi" w:hint="eastAsia"/>
                    <w:bCs/>
                    <w:iCs/>
                    <w:noProof/>
                    <w:szCs w:val="22"/>
                  </w:rPr>
                  <w:t>☒</w:t>
                </w:r>
              </w:p>
            </w:tc>
          </w:sdtContent>
        </w:sdt>
        <w:tc>
          <w:tcPr>
            <w:tcW w:w="313" w:type="pct"/>
            <w:gridSpan w:val="3"/>
            <w:shd w:val="clear" w:color="auto" w:fill="FFFFFF" w:themeFill="background1"/>
          </w:tcPr>
          <w:p w14:paraId="6952AD92" w14:textId="77777777" w:rsidR="009600CF" w:rsidRPr="00E5484C" w:rsidRDefault="009600CF" w:rsidP="00EF071D">
            <w:pPr>
              <w:pStyle w:val="BodyText"/>
            </w:pPr>
            <w:r w:rsidRPr="00D32644">
              <w:rPr>
                <w:b/>
                <w:sz w:val="18"/>
                <w:szCs w:val="18"/>
              </w:rPr>
              <w:t>No</w:t>
            </w:r>
          </w:p>
        </w:tc>
        <w:tc>
          <w:tcPr>
            <w:tcW w:w="3127" w:type="pct"/>
            <w:gridSpan w:val="5"/>
            <w:shd w:val="clear" w:color="auto" w:fill="FFFFFF" w:themeFill="background1"/>
          </w:tcPr>
          <w:p w14:paraId="058DA2D4" w14:textId="2E2800F7" w:rsidR="006F2DF1" w:rsidRDefault="009600CF" w:rsidP="00B36B8F">
            <w:pPr>
              <w:pStyle w:val="BodyText"/>
              <w:rPr>
                <w:i/>
                <w:iCs/>
                <w:color w:val="C00000"/>
                <w:sz w:val="18"/>
                <w:szCs w:val="22"/>
              </w:rPr>
            </w:pPr>
            <w:r>
              <w:t xml:space="preserve">The Fund has regard to certain PAI indicators as set out in section above in relation to sustainability indicators as a method to measure the attainment of environmental or social characteristics and as a mechanism to consider whether investments might have any negative external impact on broader environmental or social objectives. </w:t>
            </w:r>
            <w:r w:rsidR="00116F5C">
              <w:t>However,</w:t>
            </w:r>
            <w:r>
              <w:t xml:space="preserve"> it does not, at present, conduct a full PAI analysis. </w:t>
            </w:r>
          </w:p>
          <w:p w14:paraId="6F8913B2" w14:textId="77777777" w:rsidR="009600CF" w:rsidRPr="00E5484C" w:rsidRDefault="009600CF" w:rsidP="00EF071D">
            <w:pPr>
              <w:pStyle w:val="BodyText"/>
            </w:pPr>
          </w:p>
        </w:tc>
      </w:tr>
      <w:tr w:rsidR="009600CF" w14:paraId="3148674C" w14:textId="77777777" w:rsidTr="007B198D">
        <w:trPr>
          <w:gridAfter w:val="1"/>
          <w:wAfter w:w="121" w:type="pct"/>
          <w:trHeight w:val="541"/>
        </w:trPr>
        <w:tc>
          <w:tcPr>
            <w:tcW w:w="1239" w:type="pct"/>
            <w:gridSpan w:val="11"/>
            <w:shd w:val="clear" w:color="auto" w:fill="FFFFFF" w:themeFill="background1"/>
          </w:tcPr>
          <w:p w14:paraId="4F957415" w14:textId="77777777" w:rsidR="009600CF" w:rsidRDefault="009600CF" w:rsidP="00F167F7">
            <w:pPr>
              <w:pStyle w:val="BodyText"/>
              <w:jc w:val="left"/>
              <w:rPr>
                <w:rFonts w:ascii="MS Gothic" w:eastAsia="MS Gothic" w:hAnsi="MS Gothic"/>
              </w:rPr>
            </w:pPr>
          </w:p>
        </w:tc>
        <w:tc>
          <w:tcPr>
            <w:tcW w:w="3640" w:type="pct"/>
            <w:gridSpan w:val="12"/>
            <w:shd w:val="clear" w:color="auto" w:fill="FFFFFF" w:themeFill="background1"/>
          </w:tcPr>
          <w:p w14:paraId="50C27BD8" w14:textId="77777777" w:rsidR="009600CF" w:rsidRDefault="009600CF" w:rsidP="00EF071D">
            <w:pPr>
              <w:pStyle w:val="BodyText"/>
              <w:spacing w:after="120"/>
            </w:pPr>
            <w:r w:rsidRPr="00FD3709">
              <w:rPr>
                <w:b/>
                <w:sz w:val="18"/>
                <w:szCs w:val="18"/>
              </w:rPr>
              <w:t>What investment strategy does this financial product follow?</w:t>
            </w:r>
            <w:r w:rsidRPr="001A487C">
              <w:t xml:space="preserve"> </w:t>
            </w:r>
          </w:p>
          <w:p w14:paraId="33933441" w14:textId="77777777" w:rsidR="00EF61FF" w:rsidRPr="001A487C" w:rsidRDefault="00EF61FF" w:rsidP="00CA2FE7">
            <w:pPr>
              <w:pStyle w:val="BodyText"/>
              <w:spacing w:after="120"/>
              <w:ind w:left="709"/>
              <w:rPr>
                <w:b/>
              </w:rPr>
            </w:pPr>
          </w:p>
        </w:tc>
      </w:tr>
      <w:tr w:rsidR="009600CF" w14:paraId="0BC5FBAA" w14:textId="77777777" w:rsidTr="007B198D">
        <w:trPr>
          <w:gridAfter w:val="1"/>
          <w:wAfter w:w="121" w:type="pct"/>
          <w:trHeight w:val="541"/>
        </w:trPr>
        <w:tc>
          <w:tcPr>
            <w:tcW w:w="1239" w:type="pct"/>
            <w:gridSpan w:val="11"/>
            <w:shd w:val="clear" w:color="auto" w:fill="FFFFFF" w:themeFill="background1"/>
          </w:tcPr>
          <w:p w14:paraId="41AFA59A" w14:textId="77777777" w:rsidR="009600CF" w:rsidRDefault="009600CF" w:rsidP="00F167F7">
            <w:pPr>
              <w:pStyle w:val="BodyText"/>
              <w:jc w:val="left"/>
              <w:rPr>
                <w:rFonts w:ascii="MS Gothic" w:eastAsia="MS Gothic" w:hAnsi="MS Gothic"/>
              </w:rPr>
            </w:pPr>
          </w:p>
        </w:tc>
        <w:tc>
          <w:tcPr>
            <w:tcW w:w="3640" w:type="pct"/>
            <w:gridSpan w:val="12"/>
            <w:shd w:val="clear" w:color="auto" w:fill="FFFFFF" w:themeFill="background1"/>
          </w:tcPr>
          <w:p w14:paraId="235E6557" w14:textId="61D42454" w:rsidR="00F167F7" w:rsidRDefault="003B5EAE" w:rsidP="00EF071D">
            <w:pPr>
              <w:pStyle w:val="ListParagraph"/>
              <w:numPr>
                <w:ilvl w:val="0"/>
                <w:numId w:val="29"/>
              </w:numPr>
              <w:spacing w:after="160" w:line="256" w:lineRule="auto"/>
              <w:contextualSpacing/>
            </w:pPr>
            <w:r w:rsidRPr="003B5EAE">
              <w:t xml:space="preserve">The investment objective of the Fund is to deliver long term capital growth in USD through investing primarily in equities and equity-related instruments of </w:t>
            </w:r>
            <w:r w:rsidR="00AD6A07">
              <w:t xml:space="preserve">listed </w:t>
            </w:r>
            <w:r w:rsidRPr="003B5EAE">
              <w:t>companies in the developed world.</w:t>
            </w:r>
          </w:p>
          <w:p w14:paraId="640FCD2D" w14:textId="77777777" w:rsidR="00F167F7" w:rsidRDefault="00F167F7" w:rsidP="00EF071D">
            <w:pPr>
              <w:pStyle w:val="ListParagraph"/>
              <w:spacing w:after="160" w:line="256" w:lineRule="auto"/>
              <w:contextualSpacing/>
            </w:pPr>
          </w:p>
          <w:p w14:paraId="102A19E2" w14:textId="27F4A188" w:rsidR="00F167F7" w:rsidRPr="00965781" w:rsidRDefault="00965781" w:rsidP="00965781">
            <w:pPr>
              <w:pStyle w:val="ListParagraph"/>
              <w:numPr>
                <w:ilvl w:val="0"/>
                <w:numId w:val="29"/>
              </w:numPr>
              <w:spacing w:after="160" w:line="256" w:lineRule="auto"/>
              <w:contextualSpacing/>
              <w:rPr>
                <w:szCs w:val="24"/>
              </w:rPr>
            </w:pPr>
            <w:r w:rsidRPr="00965781">
              <w:rPr>
                <w:szCs w:val="24"/>
              </w:rPr>
              <w:t xml:space="preserve">The Investment Manager shall distil an initial investment universe of around </w:t>
            </w:r>
            <w:r w:rsidR="00BE7F85">
              <w:rPr>
                <w:szCs w:val="24"/>
              </w:rPr>
              <w:t>40,000</w:t>
            </w:r>
            <w:r w:rsidRPr="00965781">
              <w:rPr>
                <w:szCs w:val="24"/>
              </w:rPr>
              <w:t xml:space="preserve"> companies globally down to an anticipated equity investment portfolio of 30</w:t>
            </w:r>
            <w:r w:rsidR="00830061">
              <w:rPr>
                <w:szCs w:val="24"/>
              </w:rPr>
              <w:t xml:space="preserve"> to </w:t>
            </w:r>
            <w:r w:rsidRPr="00965781">
              <w:rPr>
                <w:szCs w:val="24"/>
              </w:rPr>
              <w:t xml:space="preserve">50 stocks. This is achieved by focusing primarily on a starting universe of all listed companies, then applying liquidity, valuation, and quality screening processes, alongside </w:t>
            </w:r>
            <w:r w:rsidR="00116F5C" w:rsidRPr="00965781">
              <w:rPr>
                <w:szCs w:val="24"/>
              </w:rPr>
              <w:t>bottom-up</w:t>
            </w:r>
            <w:r w:rsidRPr="00965781">
              <w:rPr>
                <w:szCs w:val="24"/>
              </w:rPr>
              <w:t xml:space="preserve"> fund</w:t>
            </w:r>
            <w:r w:rsidR="00C4538D">
              <w:rPr>
                <w:szCs w:val="24"/>
              </w:rPr>
              <w:t>a</w:t>
            </w:r>
            <w:r w:rsidRPr="00965781">
              <w:rPr>
                <w:szCs w:val="24"/>
              </w:rPr>
              <w:t>m</w:t>
            </w:r>
            <w:r w:rsidR="00C4538D">
              <w:rPr>
                <w:szCs w:val="24"/>
              </w:rPr>
              <w:t>e</w:t>
            </w:r>
            <w:r w:rsidRPr="00965781">
              <w:rPr>
                <w:szCs w:val="24"/>
              </w:rPr>
              <w:t xml:space="preserve">ntal research targeting specific companies or sectors with attractive valuation and quality metrics.  </w:t>
            </w:r>
          </w:p>
          <w:p w14:paraId="6F32F5B8" w14:textId="77777777" w:rsidR="00F167F7" w:rsidRPr="00F167F7" w:rsidRDefault="00F167F7" w:rsidP="00EF071D">
            <w:pPr>
              <w:pStyle w:val="ListParagraph"/>
              <w:rPr>
                <w:szCs w:val="24"/>
              </w:rPr>
            </w:pPr>
          </w:p>
          <w:p w14:paraId="1A5CCE88" w14:textId="0032155E" w:rsidR="00F167F7" w:rsidRDefault="009600CF" w:rsidP="00EF071D">
            <w:pPr>
              <w:pStyle w:val="ListParagraph"/>
              <w:numPr>
                <w:ilvl w:val="0"/>
                <w:numId w:val="29"/>
              </w:numPr>
              <w:spacing w:after="160" w:line="256" w:lineRule="auto"/>
              <w:contextualSpacing/>
            </w:pPr>
            <w:r w:rsidRPr="00F167F7">
              <w:rPr>
                <w:szCs w:val="24"/>
              </w:rPr>
              <w:t xml:space="preserve">The team leverages third party databases and investment research to </w:t>
            </w:r>
            <w:r w:rsidR="00116F5C" w:rsidRPr="00F167F7">
              <w:rPr>
                <w:szCs w:val="24"/>
              </w:rPr>
              <w:t xml:space="preserve">further </w:t>
            </w:r>
            <w:r w:rsidR="00116F5C">
              <w:rPr>
                <w:szCs w:val="24"/>
              </w:rPr>
              <w:t>support</w:t>
            </w:r>
            <w:r w:rsidR="00C617CB">
              <w:rPr>
                <w:szCs w:val="24"/>
              </w:rPr>
              <w:t xml:space="preserve"> the idea generation </w:t>
            </w:r>
            <w:r w:rsidR="00E72330">
              <w:rPr>
                <w:szCs w:val="24"/>
              </w:rPr>
              <w:t xml:space="preserve">process </w:t>
            </w:r>
            <w:r w:rsidRPr="00F167F7">
              <w:rPr>
                <w:szCs w:val="24"/>
              </w:rPr>
              <w:t xml:space="preserve">to </w:t>
            </w:r>
            <w:r w:rsidR="00C617CB">
              <w:rPr>
                <w:szCs w:val="24"/>
              </w:rPr>
              <w:t xml:space="preserve">find </w:t>
            </w:r>
            <w:r w:rsidRPr="00F167F7">
              <w:rPr>
                <w:szCs w:val="24"/>
              </w:rPr>
              <w:t xml:space="preserve">companies that </w:t>
            </w:r>
            <w:r w:rsidR="00AD1F4F">
              <w:rPr>
                <w:szCs w:val="24"/>
              </w:rPr>
              <w:t>meet valuation, quality and growth criteria</w:t>
            </w:r>
            <w:r w:rsidRPr="00F167F7">
              <w:rPr>
                <w:szCs w:val="24"/>
              </w:rPr>
              <w:t xml:space="preserve">.  </w:t>
            </w:r>
          </w:p>
          <w:p w14:paraId="1EDE7CB0" w14:textId="77777777" w:rsidR="00F167F7" w:rsidRPr="00F167F7" w:rsidRDefault="00F167F7" w:rsidP="00EF071D">
            <w:pPr>
              <w:pStyle w:val="ListParagraph"/>
              <w:rPr>
                <w:szCs w:val="24"/>
              </w:rPr>
            </w:pPr>
          </w:p>
          <w:p w14:paraId="5263817D" w14:textId="6267C8DA" w:rsidR="00F167F7" w:rsidRPr="00F167F7" w:rsidRDefault="009600CF" w:rsidP="00EF071D">
            <w:pPr>
              <w:pStyle w:val="ListParagraph"/>
              <w:numPr>
                <w:ilvl w:val="0"/>
                <w:numId w:val="29"/>
              </w:numPr>
              <w:spacing w:after="160" w:line="256" w:lineRule="auto"/>
              <w:contextualSpacing/>
            </w:pPr>
            <w:r w:rsidRPr="00F167F7">
              <w:rPr>
                <w:szCs w:val="24"/>
              </w:rPr>
              <w:t xml:space="preserve">In completing detailed stock analysis, the Investment Manager shall seek out companies with robust top-line growth prospects, market leading products, pricing power in its relevant market and/or cost control, high and/or improving </w:t>
            </w:r>
            <w:r w:rsidR="00116F5C" w:rsidRPr="00F167F7">
              <w:rPr>
                <w:szCs w:val="24"/>
              </w:rPr>
              <w:t>profitability</w:t>
            </w:r>
            <w:r w:rsidR="00116F5C">
              <w:rPr>
                <w:szCs w:val="24"/>
              </w:rPr>
              <w:t>,</w:t>
            </w:r>
            <w:r w:rsidR="00116F5C" w:rsidRPr="00F167F7">
              <w:rPr>
                <w:szCs w:val="24"/>
              </w:rPr>
              <w:t xml:space="preserve"> strong</w:t>
            </w:r>
            <w:r w:rsidRPr="00F167F7">
              <w:rPr>
                <w:szCs w:val="24"/>
              </w:rPr>
              <w:t xml:space="preserve"> balance sheets</w:t>
            </w:r>
            <w:r w:rsidR="003E5E57">
              <w:rPr>
                <w:szCs w:val="24"/>
              </w:rPr>
              <w:t>, and an attractive valuation.</w:t>
            </w:r>
          </w:p>
          <w:p w14:paraId="7514156F" w14:textId="77777777" w:rsidR="00F167F7" w:rsidRPr="00F167F7" w:rsidRDefault="00F167F7" w:rsidP="00EF071D">
            <w:pPr>
              <w:pStyle w:val="ListParagraph"/>
              <w:rPr>
                <w:szCs w:val="24"/>
              </w:rPr>
            </w:pPr>
          </w:p>
          <w:p w14:paraId="5E191E75" w14:textId="280740C6" w:rsidR="00F167F7" w:rsidRPr="00F167F7" w:rsidRDefault="009600CF" w:rsidP="00EF071D">
            <w:pPr>
              <w:pStyle w:val="ListParagraph"/>
              <w:numPr>
                <w:ilvl w:val="0"/>
                <w:numId w:val="29"/>
              </w:numPr>
              <w:spacing w:after="160" w:line="256" w:lineRule="auto"/>
              <w:contextualSpacing/>
            </w:pPr>
            <w:r w:rsidRPr="00F167F7">
              <w:rPr>
                <w:szCs w:val="24"/>
              </w:rPr>
              <w:t>The investment team conducts regular meetings with management teams enabling a deeper understanding of a company’s business model, the quality of its management team</w:t>
            </w:r>
            <w:r w:rsidR="00A00CAE">
              <w:rPr>
                <w:szCs w:val="24"/>
              </w:rPr>
              <w:t>, the</w:t>
            </w:r>
            <w:r w:rsidR="008D39EE">
              <w:rPr>
                <w:szCs w:val="24"/>
              </w:rPr>
              <w:t xml:space="preserve"> </w:t>
            </w:r>
            <w:r w:rsidRPr="00F167F7">
              <w:rPr>
                <w:szCs w:val="24"/>
              </w:rPr>
              <w:t>competitiveness of products and services</w:t>
            </w:r>
            <w:r w:rsidR="00A00CAE">
              <w:rPr>
                <w:szCs w:val="24"/>
              </w:rPr>
              <w:t xml:space="preserve"> and its ability to meet the ESG criteria</w:t>
            </w:r>
            <w:r w:rsidRPr="00F167F7">
              <w:rPr>
                <w:szCs w:val="24"/>
              </w:rPr>
              <w:t>. The investment team also leverages external research to complement its own fundamental research and analysis.</w:t>
            </w:r>
          </w:p>
          <w:p w14:paraId="45DA38B0" w14:textId="77777777" w:rsidR="00F167F7" w:rsidRDefault="00F167F7" w:rsidP="00EF071D">
            <w:pPr>
              <w:pStyle w:val="ListParagraph"/>
            </w:pPr>
          </w:p>
          <w:p w14:paraId="195C7A21" w14:textId="57BE7193" w:rsidR="009600CF" w:rsidRPr="00CA2FE7" w:rsidRDefault="009600CF" w:rsidP="00B36B8F">
            <w:pPr>
              <w:pStyle w:val="ListParagraph"/>
              <w:numPr>
                <w:ilvl w:val="0"/>
                <w:numId w:val="29"/>
              </w:numPr>
              <w:spacing w:after="160" w:line="256" w:lineRule="auto"/>
              <w:contextualSpacing/>
              <w:rPr>
                <w:b/>
                <w:sz w:val="18"/>
                <w:szCs w:val="18"/>
              </w:rPr>
            </w:pPr>
            <w:r>
              <w:t xml:space="preserve">In pursuing the investment strategy, the Investment Manager will have regard to the promotion of </w:t>
            </w:r>
            <w:r w:rsidR="00675507">
              <w:t xml:space="preserve">environmental and </w:t>
            </w:r>
            <w:r>
              <w:t>social</w:t>
            </w:r>
            <w:r w:rsidR="00A00CAE">
              <w:t xml:space="preserve"> characteristics</w:t>
            </w:r>
            <w:r>
              <w:t xml:space="preserve"> </w:t>
            </w:r>
            <w:r w:rsidR="00675507">
              <w:t xml:space="preserve">through the </w:t>
            </w:r>
            <w:r w:rsidRPr="003F289B">
              <w:t>sustainability indicators, binding elements and other factors described in further detail in this Sustainability Annex.</w:t>
            </w:r>
          </w:p>
        </w:tc>
      </w:tr>
    </w:tbl>
    <w:p w14:paraId="5026DE2F" w14:textId="77777777" w:rsidR="009600CF" w:rsidRDefault="009600CF" w:rsidP="009600CF"/>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35"/>
        <w:gridCol w:w="236"/>
        <w:gridCol w:w="193"/>
        <w:gridCol w:w="168"/>
        <w:gridCol w:w="206"/>
        <w:gridCol w:w="377"/>
        <w:gridCol w:w="600"/>
        <w:gridCol w:w="601"/>
        <w:gridCol w:w="1200"/>
        <w:gridCol w:w="700"/>
        <w:gridCol w:w="4227"/>
        <w:gridCol w:w="147"/>
      </w:tblGrid>
      <w:tr w:rsidR="009600CF" w14:paraId="0CBF70C1" w14:textId="77777777" w:rsidTr="00681ABF">
        <w:trPr>
          <w:trHeight w:val="834"/>
        </w:trPr>
        <w:tc>
          <w:tcPr>
            <w:tcW w:w="2119" w:type="dxa"/>
            <w:gridSpan w:val="2"/>
            <w:vMerge w:val="restart"/>
            <w:shd w:val="clear" w:color="auto" w:fill="FFFFFF" w:themeFill="background1"/>
          </w:tcPr>
          <w:p w14:paraId="7E269447" w14:textId="77777777" w:rsidR="009600CF" w:rsidRPr="001A487C" w:rsidRDefault="009600CF" w:rsidP="00F167F7">
            <w:pPr>
              <w:pStyle w:val="BodyText"/>
              <w:shd w:val="clear" w:color="auto" w:fill="F2F2F2" w:themeFill="background1" w:themeFillShade="F2"/>
              <w:spacing w:before="360"/>
              <w:jc w:val="left"/>
              <w:rPr>
                <w:rFonts w:asciiTheme="minorHAnsi" w:eastAsia="MS Gothic" w:hAnsiTheme="minorHAnsi" w:cstheme="minorHAnsi"/>
              </w:rPr>
            </w:pPr>
            <w:r w:rsidRPr="006F77AA">
              <w:rPr>
                <w:rFonts w:asciiTheme="minorHAnsi" w:eastAsia="MS Gothic" w:hAnsiTheme="minorHAnsi" w:cstheme="minorHAnsi"/>
                <w:b/>
                <w:sz w:val="18"/>
              </w:rPr>
              <w:t>The investment strategy</w:t>
            </w:r>
            <w:r w:rsidRPr="006F77AA">
              <w:rPr>
                <w:rFonts w:asciiTheme="minorHAnsi" w:eastAsia="MS Gothic" w:hAnsiTheme="minorHAnsi" w:cstheme="minorHAnsi"/>
                <w:sz w:val="18"/>
              </w:rPr>
              <w:t xml:space="preserve"> guides </w:t>
            </w:r>
            <w:r w:rsidRPr="006F77AA">
              <w:rPr>
                <w:rFonts w:asciiTheme="minorHAnsi" w:eastAsia="MS Gothic" w:hAnsiTheme="minorHAnsi" w:cstheme="minorHAnsi"/>
                <w:sz w:val="18"/>
              </w:rPr>
              <w:lastRenderedPageBreak/>
              <w:t xml:space="preserve">investment </w:t>
            </w:r>
            <w:r>
              <w:rPr>
                <w:rFonts w:asciiTheme="minorHAnsi" w:eastAsia="MS Gothic" w:hAnsiTheme="minorHAnsi" w:cstheme="minorHAnsi"/>
                <w:sz w:val="18"/>
              </w:rPr>
              <w:br/>
            </w:r>
            <w:r w:rsidRPr="006F77AA">
              <w:rPr>
                <w:rFonts w:asciiTheme="minorHAnsi" w:eastAsia="MS Gothic" w:hAnsiTheme="minorHAnsi" w:cstheme="minorHAnsi"/>
                <w:sz w:val="18"/>
              </w:rPr>
              <w:t xml:space="preserve">decisions based on factors such as investment </w:t>
            </w:r>
            <w:r>
              <w:rPr>
                <w:rFonts w:asciiTheme="minorHAnsi" w:eastAsia="MS Gothic" w:hAnsiTheme="minorHAnsi" w:cstheme="minorHAnsi"/>
                <w:sz w:val="18"/>
              </w:rPr>
              <w:br/>
            </w:r>
            <w:r w:rsidRPr="006F77AA">
              <w:rPr>
                <w:rFonts w:asciiTheme="minorHAnsi" w:eastAsia="MS Gothic" w:hAnsiTheme="minorHAnsi" w:cstheme="minorHAnsi"/>
                <w:sz w:val="18"/>
              </w:rPr>
              <w:t>objectives and risk tolerance.</w:t>
            </w:r>
          </w:p>
        </w:tc>
        <w:tc>
          <w:tcPr>
            <w:tcW w:w="236" w:type="dxa"/>
            <w:vMerge w:val="restart"/>
            <w:shd w:val="clear" w:color="auto" w:fill="FFFFFF" w:themeFill="background1"/>
          </w:tcPr>
          <w:p w14:paraId="29135484" w14:textId="77777777" w:rsidR="009600CF" w:rsidRPr="001A487C" w:rsidRDefault="009600CF" w:rsidP="00F167F7">
            <w:pPr>
              <w:pStyle w:val="BodyText"/>
              <w:jc w:val="left"/>
              <w:rPr>
                <w:rFonts w:eastAsia="Calibri" w:cs="Arial"/>
                <w:bCs/>
                <w:iCs/>
                <w:noProof/>
                <w:szCs w:val="22"/>
              </w:rPr>
            </w:pPr>
          </w:p>
        </w:tc>
        <w:tc>
          <w:tcPr>
            <w:tcW w:w="567" w:type="dxa"/>
            <w:gridSpan w:val="3"/>
            <w:vMerge w:val="restart"/>
            <w:shd w:val="clear" w:color="auto" w:fill="FFFFFF" w:themeFill="background1"/>
          </w:tcPr>
          <w:p w14:paraId="659E1502" w14:textId="77777777" w:rsidR="009600CF" w:rsidRPr="001A487C" w:rsidRDefault="009600CF" w:rsidP="00A42DEF">
            <w:pPr>
              <w:pStyle w:val="Bullet1"/>
              <w:numPr>
                <w:ilvl w:val="0"/>
                <w:numId w:val="26"/>
              </w:numPr>
              <w:spacing w:before="120" w:after="120"/>
            </w:pPr>
          </w:p>
        </w:tc>
        <w:tc>
          <w:tcPr>
            <w:tcW w:w="7852" w:type="dxa"/>
            <w:gridSpan w:val="7"/>
            <w:shd w:val="clear" w:color="auto" w:fill="FFFFFF" w:themeFill="background1"/>
          </w:tcPr>
          <w:p w14:paraId="7C98CB62" w14:textId="77777777" w:rsidR="009600CF" w:rsidRPr="0007683E" w:rsidRDefault="009600CF" w:rsidP="00F167F7">
            <w:pPr>
              <w:pStyle w:val="BodyText"/>
              <w:spacing w:after="120"/>
              <w:rPr>
                <w:rFonts w:cs="Arial"/>
                <w:b/>
                <w:i/>
              </w:rPr>
            </w:pPr>
            <w:r w:rsidRPr="0007683E">
              <w:rPr>
                <w:rFonts w:cs="Arial"/>
                <w:b/>
                <w:i/>
              </w:rPr>
              <w:t>What are the binding elements of the investment strategy used to select the investments to attain each of the environmental or social characteristics promoted by this financial product?</w:t>
            </w:r>
          </w:p>
        </w:tc>
      </w:tr>
      <w:tr w:rsidR="009600CF" w14:paraId="446BF9DF" w14:textId="77777777" w:rsidTr="00681ABF">
        <w:trPr>
          <w:trHeight w:val="454"/>
        </w:trPr>
        <w:tc>
          <w:tcPr>
            <w:tcW w:w="2119" w:type="dxa"/>
            <w:gridSpan w:val="2"/>
            <w:vMerge/>
            <w:shd w:val="clear" w:color="auto" w:fill="FFFFFF" w:themeFill="background1"/>
          </w:tcPr>
          <w:p w14:paraId="27556339" w14:textId="77777777" w:rsidR="009600CF" w:rsidRPr="001B7166" w:rsidRDefault="009600CF" w:rsidP="00F167F7">
            <w:pPr>
              <w:pStyle w:val="BodyText"/>
              <w:jc w:val="left"/>
              <w:rPr>
                <w:rFonts w:asciiTheme="minorHAnsi" w:eastAsia="MS Gothic" w:hAnsiTheme="minorHAnsi" w:cstheme="minorHAnsi"/>
                <w:b/>
              </w:rPr>
            </w:pPr>
          </w:p>
        </w:tc>
        <w:tc>
          <w:tcPr>
            <w:tcW w:w="236" w:type="dxa"/>
            <w:vMerge/>
            <w:shd w:val="clear" w:color="auto" w:fill="FFFFFF" w:themeFill="background1"/>
          </w:tcPr>
          <w:p w14:paraId="11CC43A6" w14:textId="77777777" w:rsidR="009600CF" w:rsidRPr="001A487C" w:rsidRDefault="009600CF" w:rsidP="00F167F7">
            <w:pPr>
              <w:pStyle w:val="BodyText"/>
              <w:jc w:val="left"/>
              <w:rPr>
                <w:rFonts w:eastAsia="Calibri" w:cs="Arial"/>
                <w:bCs/>
                <w:iCs/>
                <w:noProof/>
                <w:szCs w:val="22"/>
              </w:rPr>
            </w:pPr>
          </w:p>
        </w:tc>
        <w:tc>
          <w:tcPr>
            <w:tcW w:w="567" w:type="dxa"/>
            <w:gridSpan w:val="3"/>
            <w:vMerge/>
            <w:shd w:val="clear" w:color="auto" w:fill="FFFFFF" w:themeFill="background1"/>
          </w:tcPr>
          <w:p w14:paraId="644BE4C9" w14:textId="77777777" w:rsidR="009600CF" w:rsidRPr="00776340" w:rsidRDefault="009600CF" w:rsidP="00F167F7">
            <w:pPr>
              <w:pStyle w:val="BodyText"/>
              <w:jc w:val="left"/>
              <w:rPr>
                <w:rFonts w:ascii="Calibri" w:eastAsia="Calibri" w:hAnsi="Calibri"/>
                <w:b/>
                <w:bCs/>
                <w:i/>
                <w:iCs/>
                <w:noProof/>
                <w:szCs w:val="22"/>
              </w:rPr>
            </w:pPr>
          </w:p>
        </w:tc>
        <w:tc>
          <w:tcPr>
            <w:tcW w:w="7852" w:type="dxa"/>
            <w:gridSpan w:val="7"/>
            <w:shd w:val="clear" w:color="auto" w:fill="FFFFFF" w:themeFill="background1"/>
          </w:tcPr>
          <w:p w14:paraId="32F1C4F0" w14:textId="73A7887A" w:rsidR="007B198D" w:rsidRDefault="009600CF" w:rsidP="00EF071D">
            <w:pPr>
              <w:pStyle w:val="ListParagraph"/>
              <w:numPr>
                <w:ilvl w:val="0"/>
                <w:numId w:val="32"/>
              </w:numPr>
              <w:spacing w:after="160" w:line="256" w:lineRule="auto"/>
              <w:contextualSpacing/>
            </w:pPr>
            <w:r>
              <w:t xml:space="preserve">The investment </w:t>
            </w:r>
            <w:r w:rsidR="00A00CAE">
              <w:t xml:space="preserve">will be screened </w:t>
            </w:r>
            <w:r w:rsidR="00973B32">
              <w:t xml:space="preserve">using the positive screening methodology described above to assess the performance of the target company in terms of is promotion of environmental and social criteria </w:t>
            </w:r>
            <w:r>
              <w:t>described in the "Investment Policy" section of the Supplement and summarised in this Sustainability Annex</w:t>
            </w:r>
            <w:r w:rsidR="009A3BAF">
              <w:t>.</w:t>
            </w:r>
          </w:p>
          <w:p w14:paraId="53BE7DA5" w14:textId="0467D01F" w:rsidR="007B198D" w:rsidRDefault="007B198D" w:rsidP="00EF071D">
            <w:pPr>
              <w:pStyle w:val="ListParagraph"/>
              <w:spacing w:after="160" w:line="256" w:lineRule="auto"/>
              <w:contextualSpacing/>
            </w:pPr>
          </w:p>
          <w:p w14:paraId="54A54225" w14:textId="5A47F819" w:rsidR="00C354C0" w:rsidRPr="00EF071D" w:rsidRDefault="009600CF" w:rsidP="00C354C0">
            <w:pPr>
              <w:pStyle w:val="ListParagraph"/>
              <w:numPr>
                <w:ilvl w:val="0"/>
                <w:numId w:val="32"/>
              </w:numPr>
              <w:spacing w:after="160" w:line="256" w:lineRule="auto"/>
              <w:contextualSpacing/>
            </w:pPr>
            <w:r w:rsidRPr="007B198D">
              <w:rPr>
                <w:szCs w:val="24"/>
              </w:rPr>
              <w:t xml:space="preserve">The investment team applies exclusionary ESG resulting in the exclusion of </w:t>
            </w:r>
            <w:r w:rsidR="00C354C0" w:rsidRPr="00C354C0">
              <w:rPr>
                <w:szCs w:val="24"/>
              </w:rPr>
              <w:t>certain securities where the relevant issuers derive revenue above defined thresholds from industries or activities that are harmful to environmental or social characteristics, including</w:t>
            </w:r>
            <w:r w:rsidR="00D75E17">
              <w:rPr>
                <w:szCs w:val="24"/>
              </w:rPr>
              <w:t xml:space="preserve"> coal and oil extraction and production,</w:t>
            </w:r>
            <w:r w:rsidR="00C354C0" w:rsidRPr="00C354C0">
              <w:rPr>
                <w:szCs w:val="24"/>
              </w:rPr>
              <w:t xml:space="preserve"> tobacco production and tobacco related products and services, civilian firearms production, gambling related products and services, alcohol production, </w:t>
            </w:r>
            <w:r w:rsidR="00116F5C" w:rsidRPr="00C354C0">
              <w:rPr>
                <w:szCs w:val="24"/>
              </w:rPr>
              <w:t>cannabis</w:t>
            </w:r>
            <w:r w:rsidR="00C354C0" w:rsidRPr="00C354C0">
              <w:rPr>
                <w:szCs w:val="24"/>
              </w:rPr>
              <w:t xml:space="preserve"> </w:t>
            </w:r>
            <w:r w:rsidR="00C354C0" w:rsidRPr="00A82A9A">
              <w:t xml:space="preserve">production, and offensive weapons manufacturing and </w:t>
            </w:r>
            <w:r w:rsidR="00C354C0">
              <w:t xml:space="preserve">the </w:t>
            </w:r>
            <w:r w:rsidR="00C354C0" w:rsidRPr="00A82A9A">
              <w:t>manufacture of nuclear warheads or whole nuclear missiles outside of the Non-Proliferation Treaty</w:t>
            </w:r>
            <w:r w:rsidR="00C354C0">
              <w:t>.  The relevant thresholds of revenue for exclusion of such companies are set out below.</w:t>
            </w:r>
          </w:p>
          <w:tbl>
            <w:tblPr>
              <w:tblStyle w:val="TableGrid"/>
              <w:tblpPr w:leftFromText="180" w:rightFromText="180" w:vertAnchor="text" w:horzAnchor="margin" w:tblpXSpec="right" w:tblpY="445"/>
              <w:tblOverlap w:val="never"/>
              <w:tblW w:w="7087" w:type="dxa"/>
              <w:tblLayout w:type="fixed"/>
              <w:tblLook w:val="04A0" w:firstRow="1" w:lastRow="0" w:firstColumn="1" w:lastColumn="0" w:noHBand="0" w:noVBand="1"/>
            </w:tblPr>
            <w:tblGrid>
              <w:gridCol w:w="2122"/>
              <w:gridCol w:w="3260"/>
              <w:gridCol w:w="1705"/>
            </w:tblGrid>
            <w:tr w:rsidR="00C354C0" w14:paraId="782D67B1" w14:textId="77777777" w:rsidTr="00EC2858">
              <w:tc>
                <w:tcPr>
                  <w:tcW w:w="7087" w:type="dxa"/>
                  <w:gridSpan w:val="3"/>
                </w:tcPr>
                <w:p w14:paraId="58776A14" w14:textId="77777777" w:rsidR="00C354C0" w:rsidRPr="00CE11C3" w:rsidRDefault="00C354C0" w:rsidP="00C354C0">
                  <w:pPr>
                    <w:spacing w:after="260"/>
                    <w:ind w:right="738"/>
                    <w:rPr>
                      <w:rFonts w:eastAsia="Arial" w:cs="Arial"/>
                      <w:b/>
                      <w:bCs/>
                      <w:sz w:val="19"/>
                      <w:szCs w:val="19"/>
                    </w:rPr>
                  </w:pPr>
                  <w:r w:rsidRPr="00CE11C3">
                    <w:rPr>
                      <w:rFonts w:eastAsia="Arial" w:cs="Arial"/>
                      <w:b/>
                      <w:bCs/>
                      <w:sz w:val="19"/>
                      <w:szCs w:val="19"/>
                    </w:rPr>
                    <w:t>Threshold Exclusions</w:t>
                  </w:r>
                </w:p>
              </w:tc>
            </w:tr>
            <w:tr w:rsidR="0028214E" w14:paraId="35D18849" w14:textId="77777777" w:rsidTr="00EF071D">
              <w:trPr>
                <w:trHeight w:val="256"/>
              </w:trPr>
              <w:tc>
                <w:tcPr>
                  <w:tcW w:w="2122" w:type="dxa"/>
                </w:tcPr>
                <w:p w14:paraId="00EFD6C2" w14:textId="77777777" w:rsidR="00C354C0" w:rsidRPr="00CE11C3" w:rsidRDefault="00C354C0" w:rsidP="00C354C0">
                  <w:pPr>
                    <w:spacing w:after="260"/>
                    <w:rPr>
                      <w:rFonts w:eastAsia="Arial" w:cs="Arial"/>
                      <w:b/>
                      <w:bCs/>
                      <w:sz w:val="19"/>
                      <w:szCs w:val="19"/>
                    </w:rPr>
                  </w:pPr>
                  <w:r w:rsidRPr="00CE11C3">
                    <w:rPr>
                      <w:rFonts w:eastAsia="Arial" w:cs="Arial"/>
                      <w:b/>
                      <w:bCs/>
                      <w:sz w:val="19"/>
                      <w:szCs w:val="19"/>
                    </w:rPr>
                    <w:t>Exclusion</w:t>
                  </w:r>
                </w:p>
              </w:tc>
              <w:tc>
                <w:tcPr>
                  <w:tcW w:w="3260" w:type="dxa"/>
                </w:tcPr>
                <w:p w14:paraId="0C0E81DC" w14:textId="77777777" w:rsidR="00C354C0" w:rsidRPr="00CE11C3" w:rsidRDefault="00C354C0" w:rsidP="00C354C0">
                  <w:pPr>
                    <w:spacing w:after="260"/>
                    <w:rPr>
                      <w:rFonts w:eastAsia="Arial" w:cs="Arial"/>
                      <w:b/>
                      <w:bCs/>
                      <w:sz w:val="19"/>
                      <w:szCs w:val="19"/>
                    </w:rPr>
                  </w:pPr>
                  <w:r w:rsidRPr="00CE11C3">
                    <w:rPr>
                      <w:rFonts w:eastAsia="Arial" w:cs="Arial"/>
                      <w:b/>
                      <w:bCs/>
                      <w:sz w:val="19"/>
                      <w:szCs w:val="19"/>
                    </w:rPr>
                    <w:t>Factor</w:t>
                  </w:r>
                </w:p>
              </w:tc>
              <w:tc>
                <w:tcPr>
                  <w:tcW w:w="1705" w:type="dxa"/>
                </w:tcPr>
                <w:p w14:paraId="23987CF0" w14:textId="77777777" w:rsidR="00C354C0" w:rsidRPr="00CE11C3" w:rsidRDefault="00C354C0" w:rsidP="00C354C0">
                  <w:pPr>
                    <w:spacing w:after="260"/>
                    <w:rPr>
                      <w:rFonts w:eastAsia="Arial" w:cs="Arial"/>
                      <w:b/>
                      <w:bCs/>
                      <w:sz w:val="19"/>
                      <w:szCs w:val="19"/>
                    </w:rPr>
                  </w:pPr>
                  <w:r w:rsidRPr="00CE11C3">
                    <w:rPr>
                      <w:rFonts w:eastAsia="Arial" w:cs="Arial"/>
                      <w:b/>
                      <w:bCs/>
                      <w:sz w:val="19"/>
                      <w:szCs w:val="19"/>
                    </w:rPr>
                    <w:t>Revenue Threshold</w:t>
                  </w:r>
                </w:p>
              </w:tc>
            </w:tr>
            <w:tr w:rsidR="00D75E17" w14:paraId="660E1D4F" w14:textId="77777777" w:rsidTr="00EF071D">
              <w:tc>
                <w:tcPr>
                  <w:tcW w:w="2122" w:type="dxa"/>
                </w:tcPr>
                <w:p w14:paraId="77288B55" w14:textId="4762136B" w:rsidR="00D75E17" w:rsidRDefault="00D75E17" w:rsidP="00D75E17">
                  <w:pPr>
                    <w:spacing w:after="260"/>
                    <w:jc w:val="left"/>
                    <w:rPr>
                      <w:rFonts w:eastAsia="Arial" w:cs="Arial"/>
                      <w:sz w:val="19"/>
                      <w:szCs w:val="19"/>
                    </w:rPr>
                  </w:pPr>
                  <w:r>
                    <w:rPr>
                      <w:rFonts w:eastAsia="Arial" w:cs="Arial"/>
                      <w:sz w:val="19"/>
                      <w:szCs w:val="19"/>
                    </w:rPr>
                    <w:t xml:space="preserve">Coal </w:t>
                  </w:r>
                </w:p>
              </w:tc>
              <w:tc>
                <w:tcPr>
                  <w:tcW w:w="3260" w:type="dxa"/>
                </w:tcPr>
                <w:p w14:paraId="188FD4BA" w14:textId="77777777" w:rsidR="00D75E17" w:rsidRDefault="00D75E17" w:rsidP="00D75E17">
                  <w:pPr>
                    <w:rPr>
                      <w:rFonts w:eastAsia="Arial" w:cs="Arial"/>
                      <w:sz w:val="19"/>
                      <w:szCs w:val="19"/>
                    </w:rPr>
                  </w:pPr>
                  <w:r>
                    <w:rPr>
                      <w:rFonts w:eastAsia="Arial" w:cs="Arial"/>
                      <w:sz w:val="19"/>
                      <w:szCs w:val="19"/>
                    </w:rPr>
                    <w:t>Mining / Extraction</w:t>
                  </w:r>
                </w:p>
                <w:p w14:paraId="60E0A9C7" w14:textId="77777777" w:rsidR="00D75E17" w:rsidRDefault="00D75E17" w:rsidP="00D75E17">
                  <w:pPr>
                    <w:rPr>
                      <w:rFonts w:eastAsia="Arial" w:cs="Arial"/>
                      <w:sz w:val="19"/>
                      <w:szCs w:val="19"/>
                    </w:rPr>
                  </w:pPr>
                  <w:r>
                    <w:rPr>
                      <w:rFonts w:eastAsia="Arial" w:cs="Arial"/>
                      <w:sz w:val="19"/>
                      <w:szCs w:val="19"/>
                    </w:rPr>
                    <w:t>Power Production</w:t>
                  </w:r>
                </w:p>
                <w:p w14:paraId="69763077" w14:textId="77777777" w:rsidR="00D75E17" w:rsidRDefault="00D75E17" w:rsidP="00D75E17">
                  <w:pPr>
                    <w:jc w:val="left"/>
                    <w:rPr>
                      <w:rFonts w:eastAsia="Arial" w:cs="Arial"/>
                      <w:sz w:val="19"/>
                      <w:szCs w:val="19"/>
                    </w:rPr>
                  </w:pPr>
                </w:p>
              </w:tc>
              <w:tc>
                <w:tcPr>
                  <w:tcW w:w="1705" w:type="dxa"/>
                </w:tcPr>
                <w:p w14:paraId="25DE18B4" w14:textId="519FA3B5" w:rsidR="00D75E17" w:rsidRDefault="00A34471" w:rsidP="00D75E17">
                  <w:pPr>
                    <w:rPr>
                      <w:rFonts w:eastAsia="Arial" w:cs="Arial"/>
                      <w:sz w:val="19"/>
                      <w:szCs w:val="19"/>
                    </w:rPr>
                  </w:pPr>
                  <w:r>
                    <w:rPr>
                      <w:rFonts w:eastAsia="Arial" w:cs="Arial"/>
                      <w:sz w:val="19"/>
                      <w:szCs w:val="19"/>
                    </w:rPr>
                    <w:t>5</w:t>
                  </w:r>
                  <w:r w:rsidR="00D75E17">
                    <w:rPr>
                      <w:rFonts w:eastAsia="Arial" w:cs="Arial"/>
                      <w:sz w:val="19"/>
                      <w:szCs w:val="19"/>
                    </w:rPr>
                    <w:t>%</w:t>
                  </w:r>
                </w:p>
                <w:p w14:paraId="762E3758" w14:textId="7ED522A9" w:rsidR="00D75E17" w:rsidRDefault="00A34471" w:rsidP="00D75E17">
                  <w:pPr>
                    <w:spacing w:after="260"/>
                    <w:rPr>
                      <w:rFonts w:eastAsia="Arial" w:cs="Arial"/>
                      <w:sz w:val="19"/>
                      <w:szCs w:val="19"/>
                    </w:rPr>
                  </w:pPr>
                  <w:r>
                    <w:rPr>
                      <w:rFonts w:eastAsia="Arial" w:cs="Arial"/>
                      <w:sz w:val="19"/>
                      <w:szCs w:val="19"/>
                    </w:rPr>
                    <w:t>20</w:t>
                  </w:r>
                  <w:r w:rsidR="00D75E17">
                    <w:rPr>
                      <w:rFonts w:eastAsia="Arial" w:cs="Arial"/>
                      <w:sz w:val="19"/>
                      <w:szCs w:val="19"/>
                    </w:rPr>
                    <w:t>%</w:t>
                  </w:r>
                </w:p>
              </w:tc>
            </w:tr>
            <w:tr w:rsidR="00D75E17" w14:paraId="7244B57E" w14:textId="77777777" w:rsidTr="00EF071D">
              <w:tc>
                <w:tcPr>
                  <w:tcW w:w="2122" w:type="dxa"/>
                </w:tcPr>
                <w:p w14:paraId="7D213EC2" w14:textId="77FBE186" w:rsidR="00D75E17" w:rsidRDefault="00D75E17" w:rsidP="00D75E17">
                  <w:pPr>
                    <w:spacing w:after="260"/>
                    <w:jc w:val="left"/>
                    <w:rPr>
                      <w:rFonts w:eastAsia="Arial" w:cs="Arial"/>
                      <w:sz w:val="19"/>
                      <w:szCs w:val="19"/>
                    </w:rPr>
                  </w:pPr>
                  <w:r>
                    <w:rPr>
                      <w:rFonts w:eastAsia="Arial" w:cs="Arial"/>
                      <w:sz w:val="19"/>
                      <w:szCs w:val="19"/>
                    </w:rPr>
                    <w:t>Oil</w:t>
                  </w:r>
                </w:p>
              </w:tc>
              <w:tc>
                <w:tcPr>
                  <w:tcW w:w="3260" w:type="dxa"/>
                </w:tcPr>
                <w:p w14:paraId="1507C5BF" w14:textId="77777777" w:rsidR="00D75E17" w:rsidRDefault="00D75E17" w:rsidP="00D75E17">
                  <w:pPr>
                    <w:rPr>
                      <w:rFonts w:eastAsia="Arial" w:cs="Arial"/>
                      <w:sz w:val="19"/>
                      <w:szCs w:val="19"/>
                    </w:rPr>
                  </w:pPr>
                  <w:r>
                    <w:rPr>
                      <w:rFonts w:eastAsia="Arial" w:cs="Arial"/>
                      <w:sz w:val="19"/>
                      <w:szCs w:val="19"/>
                    </w:rPr>
                    <w:t>Extraction</w:t>
                  </w:r>
                </w:p>
                <w:p w14:paraId="6639F1CC" w14:textId="77777777" w:rsidR="00D75E17" w:rsidRDefault="00D75E17" w:rsidP="00D75E17">
                  <w:pPr>
                    <w:rPr>
                      <w:rFonts w:eastAsia="Arial" w:cs="Arial"/>
                      <w:sz w:val="19"/>
                      <w:szCs w:val="19"/>
                    </w:rPr>
                  </w:pPr>
                  <w:r>
                    <w:rPr>
                      <w:rFonts w:eastAsia="Arial" w:cs="Arial"/>
                      <w:sz w:val="19"/>
                      <w:szCs w:val="19"/>
                    </w:rPr>
                    <w:t>Production / Refining</w:t>
                  </w:r>
                </w:p>
                <w:p w14:paraId="7F7191C8" w14:textId="77777777" w:rsidR="00D75E17" w:rsidRDefault="00D75E17" w:rsidP="00D75E17">
                  <w:pPr>
                    <w:jc w:val="left"/>
                    <w:rPr>
                      <w:rFonts w:eastAsia="Arial" w:cs="Arial"/>
                      <w:sz w:val="19"/>
                      <w:szCs w:val="19"/>
                    </w:rPr>
                  </w:pPr>
                </w:p>
              </w:tc>
              <w:tc>
                <w:tcPr>
                  <w:tcW w:w="1705" w:type="dxa"/>
                </w:tcPr>
                <w:p w14:paraId="57FE0EE7" w14:textId="728C9AEB" w:rsidR="00D75E17" w:rsidRDefault="00A34471" w:rsidP="00D75E17">
                  <w:pPr>
                    <w:rPr>
                      <w:rFonts w:eastAsia="Arial" w:cs="Arial"/>
                      <w:sz w:val="19"/>
                      <w:szCs w:val="19"/>
                    </w:rPr>
                  </w:pPr>
                  <w:r>
                    <w:rPr>
                      <w:rFonts w:eastAsia="Arial" w:cs="Arial"/>
                      <w:sz w:val="19"/>
                      <w:szCs w:val="19"/>
                    </w:rPr>
                    <w:t>10</w:t>
                  </w:r>
                  <w:r w:rsidR="00D75E17">
                    <w:rPr>
                      <w:rFonts w:eastAsia="Arial" w:cs="Arial"/>
                      <w:sz w:val="19"/>
                      <w:szCs w:val="19"/>
                    </w:rPr>
                    <w:t>%</w:t>
                  </w:r>
                </w:p>
                <w:p w14:paraId="42F2A8DB" w14:textId="29F336DE" w:rsidR="00D75E17" w:rsidRDefault="00A34471" w:rsidP="00D75E17">
                  <w:pPr>
                    <w:spacing w:after="260"/>
                    <w:rPr>
                      <w:rFonts w:eastAsia="Arial" w:cs="Arial"/>
                      <w:sz w:val="19"/>
                      <w:szCs w:val="19"/>
                    </w:rPr>
                  </w:pPr>
                  <w:r>
                    <w:rPr>
                      <w:rFonts w:eastAsia="Arial" w:cs="Arial"/>
                      <w:sz w:val="19"/>
                      <w:szCs w:val="19"/>
                    </w:rPr>
                    <w:t>10</w:t>
                  </w:r>
                  <w:r w:rsidR="00D75E17">
                    <w:rPr>
                      <w:rFonts w:eastAsia="Arial" w:cs="Arial"/>
                      <w:sz w:val="19"/>
                      <w:szCs w:val="19"/>
                    </w:rPr>
                    <w:t>%</w:t>
                  </w:r>
                </w:p>
              </w:tc>
            </w:tr>
            <w:tr w:rsidR="00D75E17" w14:paraId="24864B3A" w14:textId="77777777" w:rsidTr="00EF071D">
              <w:tc>
                <w:tcPr>
                  <w:tcW w:w="2122" w:type="dxa"/>
                </w:tcPr>
                <w:p w14:paraId="4108E5D6" w14:textId="77777777" w:rsidR="00D75E17" w:rsidRDefault="00D75E17" w:rsidP="00D75E17">
                  <w:pPr>
                    <w:spacing w:after="260"/>
                    <w:jc w:val="left"/>
                    <w:rPr>
                      <w:rFonts w:eastAsia="Arial" w:cs="Arial"/>
                      <w:sz w:val="19"/>
                      <w:szCs w:val="19"/>
                    </w:rPr>
                  </w:pPr>
                  <w:r>
                    <w:rPr>
                      <w:rFonts w:eastAsia="Arial" w:cs="Arial"/>
                      <w:sz w:val="19"/>
                      <w:szCs w:val="19"/>
                    </w:rPr>
                    <w:t>Tobacco</w:t>
                  </w:r>
                </w:p>
              </w:tc>
              <w:tc>
                <w:tcPr>
                  <w:tcW w:w="3260" w:type="dxa"/>
                </w:tcPr>
                <w:p w14:paraId="0D6624CA" w14:textId="77777777" w:rsidR="00D75E17" w:rsidRDefault="00D75E17" w:rsidP="00D75E17">
                  <w:pPr>
                    <w:jc w:val="left"/>
                    <w:rPr>
                      <w:rFonts w:eastAsia="Arial" w:cs="Arial"/>
                      <w:sz w:val="19"/>
                      <w:szCs w:val="19"/>
                    </w:rPr>
                  </w:pPr>
                  <w:r>
                    <w:rPr>
                      <w:rFonts w:eastAsia="Arial" w:cs="Arial"/>
                      <w:sz w:val="19"/>
                      <w:szCs w:val="19"/>
                    </w:rPr>
                    <w:t>Production</w:t>
                  </w:r>
                </w:p>
                <w:p w14:paraId="229E13AE" w14:textId="77777777" w:rsidR="00D75E17" w:rsidRDefault="00D75E17" w:rsidP="00D75E17">
                  <w:pPr>
                    <w:jc w:val="left"/>
                    <w:rPr>
                      <w:rFonts w:eastAsia="Arial" w:cs="Arial"/>
                      <w:sz w:val="19"/>
                      <w:szCs w:val="19"/>
                    </w:rPr>
                  </w:pPr>
                  <w:r>
                    <w:rPr>
                      <w:rFonts w:eastAsia="Arial" w:cs="Arial"/>
                      <w:sz w:val="19"/>
                      <w:szCs w:val="19"/>
                    </w:rPr>
                    <w:t>Related Products and Services</w:t>
                  </w:r>
                </w:p>
                <w:p w14:paraId="2565B9D4" w14:textId="12837957" w:rsidR="00D75E17" w:rsidRDefault="00D75E17" w:rsidP="00D75E17">
                  <w:pPr>
                    <w:jc w:val="left"/>
                    <w:rPr>
                      <w:rFonts w:eastAsia="Arial" w:cs="Arial"/>
                      <w:sz w:val="19"/>
                      <w:szCs w:val="19"/>
                    </w:rPr>
                  </w:pPr>
                  <w:r>
                    <w:rPr>
                      <w:rFonts w:eastAsia="Arial" w:cs="Arial"/>
                      <w:sz w:val="19"/>
                      <w:szCs w:val="19"/>
                    </w:rPr>
                    <w:t>Sale/Distribution</w:t>
                  </w:r>
                </w:p>
                <w:p w14:paraId="4A96B5A9" w14:textId="77777777" w:rsidR="00D75E17" w:rsidRDefault="00D75E17" w:rsidP="00D75E17">
                  <w:pPr>
                    <w:jc w:val="left"/>
                    <w:rPr>
                      <w:rFonts w:eastAsia="Arial" w:cs="Arial"/>
                      <w:sz w:val="19"/>
                      <w:szCs w:val="19"/>
                    </w:rPr>
                  </w:pPr>
                </w:p>
              </w:tc>
              <w:tc>
                <w:tcPr>
                  <w:tcW w:w="1705" w:type="dxa"/>
                </w:tcPr>
                <w:p w14:paraId="0B665734" w14:textId="669C49DD" w:rsidR="00D75E17" w:rsidRDefault="00A34471" w:rsidP="00D75E17">
                  <w:pPr>
                    <w:rPr>
                      <w:rFonts w:eastAsia="Arial" w:cs="Arial"/>
                      <w:sz w:val="19"/>
                      <w:szCs w:val="19"/>
                    </w:rPr>
                  </w:pPr>
                  <w:r>
                    <w:rPr>
                      <w:rFonts w:eastAsia="Arial" w:cs="Arial"/>
                      <w:sz w:val="19"/>
                      <w:szCs w:val="19"/>
                    </w:rPr>
                    <w:t>0</w:t>
                  </w:r>
                  <w:r w:rsidR="00D75E17">
                    <w:rPr>
                      <w:rFonts w:eastAsia="Arial" w:cs="Arial"/>
                      <w:sz w:val="19"/>
                      <w:szCs w:val="19"/>
                    </w:rPr>
                    <w:t>%</w:t>
                  </w:r>
                </w:p>
                <w:p w14:paraId="1A2B62F7" w14:textId="71ABCB1F" w:rsidR="00745E76" w:rsidRDefault="00CA6DC4" w:rsidP="00745E76">
                  <w:pPr>
                    <w:rPr>
                      <w:rFonts w:eastAsia="Arial" w:cs="Arial"/>
                      <w:sz w:val="19"/>
                      <w:szCs w:val="19"/>
                    </w:rPr>
                  </w:pPr>
                  <w:r>
                    <w:rPr>
                      <w:rFonts w:eastAsia="Arial" w:cs="Arial"/>
                      <w:sz w:val="19"/>
                      <w:szCs w:val="19"/>
                    </w:rPr>
                    <w:t>5</w:t>
                  </w:r>
                  <w:r w:rsidR="00D75E17">
                    <w:rPr>
                      <w:rFonts w:eastAsia="Arial" w:cs="Arial"/>
                      <w:sz w:val="19"/>
                      <w:szCs w:val="19"/>
                    </w:rPr>
                    <w:t>%</w:t>
                  </w:r>
                </w:p>
                <w:p w14:paraId="251E6592" w14:textId="0E446A39" w:rsidR="00D75E17" w:rsidRDefault="00CA6DC4" w:rsidP="00745E76">
                  <w:pPr>
                    <w:spacing w:after="260"/>
                    <w:rPr>
                      <w:rFonts w:eastAsia="Arial" w:cs="Arial"/>
                      <w:sz w:val="19"/>
                      <w:szCs w:val="19"/>
                    </w:rPr>
                  </w:pPr>
                  <w:r>
                    <w:rPr>
                      <w:rFonts w:eastAsia="Arial" w:cs="Arial"/>
                      <w:sz w:val="19"/>
                      <w:szCs w:val="19"/>
                    </w:rPr>
                    <w:t>5</w:t>
                  </w:r>
                  <w:r w:rsidR="00745E76">
                    <w:rPr>
                      <w:rFonts w:eastAsia="Arial" w:cs="Arial"/>
                      <w:sz w:val="19"/>
                      <w:szCs w:val="19"/>
                    </w:rPr>
                    <w:t>%</w:t>
                  </w:r>
                </w:p>
                <w:p w14:paraId="12C3DE5A" w14:textId="702C1B03" w:rsidR="00745E76" w:rsidRDefault="00745E76" w:rsidP="00D75E17">
                  <w:pPr>
                    <w:spacing w:after="260"/>
                    <w:rPr>
                      <w:rFonts w:eastAsia="Arial" w:cs="Arial"/>
                      <w:sz w:val="19"/>
                      <w:szCs w:val="19"/>
                    </w:rPr>
                  </w:pPr>
                </w:p>
              </w:tc>
            </w:tr>
            <w:tr w:rsidR="00D75E17" w14:paraId="037E4204" w14:textId="77777777" w:rsidTr="00EF071D">
              <w:tc>
                <w:tcPr>
                  <w:tcW w:w="2122" w:type="dxa"/>
                </w:tcPr>
                <w:p w14:paraId="51013529" w14:textId="77777777" w:rsidR="00D75E17" w:rsidRDefault="00D75E17" w:rsidP="00D75E17">
                  <w:pPr>
                    <w:spacing w:after="260"/>
                    <w:jc w:val="left"/>
                    <w:rPr>
                      <w:rFonts w:eastAsia="Arial" w:cs="Arial"/>
                      <w:sz w:val="19"/>
                      <w:szCs w:val="19"/>
                    </w:rPr>
                  </w:pPr>
                  <w:r>
                    <w:rPr>
                      <w:rFonts w:eastAsia="Arial" w:cs="Arial"/>
                      <w:sz w:val="19"/>
                      <w:szCs w:val="19"/>
                    </w:rPr>
                    <w:t xml:space="preserve">Civilian Firearms </w:t>
                  </w:r>
                </w:p>
              </w:tc>
              <w:tc>
                <w:tcPr>
                  <w:tcW w:w="3260" w:type="dxa"/>
                </w:tcPr>
                <w:p w14:paraId="366157DD" w14:textId="77777777" w:rsidR="00D75E17" w:rsidRDefault="00D75E17" w:rsidP="00D75E17">
                  <w:pPr>
                    <w:jc w:val="left"/>
                    <w:rPr>
                      <w:rFonts w:eastAsia="Arial" w:cs="Arial"/>
                      <w:sz w:val="19"/>
                      <w:szCs w:val="19"/>
                    </w:rPr>
                  </w:pPr>
                  <w:r>
                    <w:rPr>
                      <w:rFonts w:eastAsia="Arial" w:cs="Arial"/>
                      <w:sz w:val="19"/>
                      <w:szCs w:val="19"/>
                    </w:rPr>
                    <w:t>Production</w:t>
                  </w:r>
                </w:p>
                <w:p w14:paraId="4F747753" w14:textId="248952C8" w:rsidR="00D75E17" w:rsidRDefault="00D75E17" w:rsidP="00D75E17">
                  <w:pPr>
                    <w:jc w:val="left"/>
                    <w:rPr>
                      <w:rFonts w:eastAsia="Arial" w:cs="Arial"/>
                      <w:sz w:val="19"/>
                      <w:szCs w:val="19"/>
                    </w:rPr>
                  </w:pPr>
                  <w:r>
                    <w:rPr>
                      <w:rFonts w:eastAsia="Arial" w:cs="Arial"/>
                      <w:sz w:val="19"/>
                      <w:szCs w:val="19"/>
                    </w:rPr>
                    <w:t>Sale / Distribution</w:t>
                  </w:r>
                </w:p>
                <w:p w14:paraId="42129447" w14:textId="77777777" w:rsidR="00D75E17" w:rsidRDefault="00D75E17" w:rsidP="00D75E17">
                  <w:pPr>
                    <w:jc w:val="left"/>
                    <w:rPr>
                      <w:rFonts w:eastAsia="Arial" w:cs="Arial"/>
                      <w:sz w:val="19"/>
                      <w:szCs w:val="19"/>
                    </w:rPr>
                  </w:pPr>
                </w:p>
              </w:tc>
              <w:tc>
                <w:tcPr>
                  <w:tcW w:w="1705" w:type="dxa"/>
                </w:tcPr>
                <w:p w14:paraId="671539F9" w14:textId="13C38CDC" w:rsidR="00D75E17" w:rsidRDefault="00CA6DC4" w:rsidP="00D75E17">
                  <w:pPr>
                    <w:rPr>
                      <w:rFonts w:eastAsia="Arial" w:cs="Arial"/>
                      <w:sz w:val="19"/>
                      <w:szCs w:val="19"/>
                    </w:rPr>
                  </w:pPr>
                  <w:r>
                    <w:rPr>
                      <w:rFonts w:eastAsia="Arial" w:cs="Arial"/>
                      <w:sz w:val="19"/>
                      <w:szCs w:val="19"/>
                    </w:rPr>
                    <w:t>0</w:t>
                  </w:r>
                  <w:r w:rsidR="00D75E17">
                    <w:rPr>
                      <w:rFonts w:eastAsia="Arial" w:cs="Arial"/>
                      <w:sz w:val="19"/>
                      <w:szCs w:val="19"/>
                    </w:rPr>
                    <w:t>%</w:t>
                  </w:r>
                </w:p>
                <w:p w14:paraId="5DCF3B90" w14:textId="54F9F1F1" w:rsidR="00D75E17" w:rsidRDefault="00CA6DC4" w:rsidP="00D75E17">
                  <w:pPr>
                    <w:spacing w:after="260"/>
                    <w:rPr>
                      <w:rFonts w:eastAsia="Arial" w:cs="Arial"/>
                      <w:sz w:val="19"/>
                      <w:szCs w:val="19"/>
                    </w:rPr>
                  </w:pPr>
                  <w:r>
                    <w:rPr>
                      <w:rFonts w:eastAsia="Arial" w:cs="Arial"/>
                      <w:sz w:val="19"/>
                      <w:szCs w:val="19"/>
                    </w:rPr>
                    <w:t>5</w:t>
                  </w:r>
                  <w:r w:rsidR="00D75E17">
                    <w:rPr>
                      <w:rFonts w:eastAsia="Arial" w:cs="Arial"/>
                      <w:sz w:val="19"/>
                      <w:szCs w:val="19"/>
                    </w:rPr>
                    <w:t>%</w:t>
                  </w:r>
                </w:p>
              </w:tc>
            </w:tr>
            <w:tr w:rsidR="00D75E17" w14:paraId="653CC9FB" w14:textId="77777777" w:rsidTr="00EF071D">
              <w:tc>
                <w:tcPr>
                  <w:tcW w:w="2122" w:type="dxa"/>
                </w:tcPr>
                <w:p w14:paraId="3E9A2DED" w14:textId="77777777" w:rsidR="00D75E17" w:rsidRDefault="00D75E17" w:rsidP="00D75E17">
                  <w:pPr>
                    <w:spacing w:after="260"/>
                    <w:jc w:val="left"/>
                    <w:rPr>
                      <w:rFonts w:eastAsia="Arial" w:cs="Arial"/>
                      <w:sz w:val="19"/>
                      <w:szCs w:val="19"/>
                    </w:rPr>
                  </w:pPr>
                  <w:r>
                    <w:rPr>
                      <w:rFonts w:eastAsia="Arial" w:cs="Arial"/>
                      <w:sz w:val="19"/>
                      <w:szCs w:val="19"/>
                    </w:rPr>
                    <w:t xml:space="preserve">Gambling </w:t>
                  </w:r>
                </w:p>
              </w:tc>
              <w:tc>
                <w:tcPr>
                  <w:tcW w:w="3260" w:type="dxa"/>
                </w:tcPr>
                <w:p w14:paraId="3BE0B357" w14:textId="098836BC" w:rsidR="00D75E17" w:rsidRDefault="00D75E17" w:rsidP="00D75E17">
                  <w:pPr>
                    <w:spacing w:after="260"/>
                    <w:jc w:val="left"/>
                    <w:rPr>
                      <w:rFonts w:eastAsia="Arial" w:cs="Arial"/>
                      <w:sz w:val="19"/>
                      <w:szCs w:val="19"/>
                    </w:rPr>
                  </w:pPr>
                  <w:r>
                    <w:rPr>
                      <w:rFonts w:eastAsia="Arial" w:cs="Arial"/>
                      <w:sz w:val="19"/>
                      <w:szCs w:val="19"/>
                    </w:rPr>
                    <w:t>Offer of Gambling Services</w:t>
                  </w:r>
                </w:p>
              </w:tc>
              <w:tc>
                <w:tcPr>
                  <w:tcW w:w="1705" w:type="dxa"/>
                </w:tcPr>
                <w:p w14:paraId="13E40EE6" w14:textId="1AC61109" w:rsidR="00D75E17" w:rsidRDefault="00CA6DC4" w:rsidP="00D75E17">
                  <w:pPr>
                    <w:rPr>
                      <w:rFonts w:eastAsia="Arial" w:cs="Arial"/>
                      <w:sz w:val="19"/>
                      <w:szCs w:val="19"/>
                    </w:rPr>
                  </w:pPr>
                  <w:r>
                    <w:rPr>
                      <w:rFonts w:eastAsia="Arial" w:cs="Arial"/>
                      <w:sz w:val="19"/>
                      <w:szCs w:val="19"/>
                    </w:rPr>
                    <w:t>5</w:t>
                  </w:r>
                  <w:r w:rsidR="00D75E17">
                    <w:rPr>
                      <w:rFonts w:eastAsia="Arial" w:cs="Arial"/>
                      <w:sz w:val="19"/>
                      <w:szCs w:val="19"/>
                    </w:rPr>
                    <w:t>%</w:t>
                  </w:r>
                </w:p>
                <w:p w14:paraId="364CED11" w14:textId="57AE69EE" w:rsidR="00D75E17" w:rsidRDefault="00D75E17" w:rsidP="00D75E17">
                  <w:pPr>
                    <w:spacing w:after="260"/>
                    <w:rPr>
                      <w:rFonts w:eastAsia="Arial" w:cs="Arial"/>
                      <w:sz w:val="19"/>
                      <w:szCs w:val="19"/>
                    </w:rPr>
                  </w:pPr>
                </w:p>
              </w:tc>
            </w:tr>
            <w:tr w:rsidR="00D75E17" w14:paraId="62152B03" w14:textId="77777777" w:rsidTr="00EF071D">
              <w:tc>
                <w:tcPr>
                  <w:tcW w:w="2122" w:type="dxa"/>
                </w:tcPr>
                <w:p w14:paraId="79FD448D" w14:textId="77777777" w:rsidR="00D75E17" w:rsidRDefault="00D75E17" w:rsidP="00D75E17">
                  <w:pPr>
                    <w:spacing w:after="260"/>
                    <w:jc w:val="left"/>
                    <w:rPr>
                      <w:rFonts w:eastAsia="Arial" w:cs="Arial"/>
                      <w:sz w:val="19"/>
                      <w:szCs w:val="19"/>
                    </w:rPr>
                  </w:pPr>
                  <w:r>
                    <w:rPr>
                      <w:rFonts w:eastAsia="Arial" w:cs="Arial"/>
                      <w:sz w:val="19"/>
                      <w:szCs w:val="19"/>
                    </w:rPr>
                    <w:t>Alcohol</w:t>
                  </w:r>
                </w:p>
              </w:tc>
              <w:tc>
                <w:tcPr>
                  <w:tcW w:w="3260" w:type="dxa"/>
                </w:tcPr>
                <w:p w14:paraId="043BD6ED" w14:textId="77777777" w:rsidR="00D75E17" w:rsidRDefault="00D75E17" w:rsidP="00D75E17">
                  <w:pPr>
                    <w:jc w:val="left"/>
                    <w:rPr>
                      <w:rFonts w:eastAsia="Arial" w:cs="Arial"/>
                      <w:sz w:val="19"/>
                      <w:szCs w:val="19"/>
                    </w:rPr>
                  </w:pPr>
                  <w:r>
                    <w:rPr>
                      <w:rFonts w:eastAsia="Arial" w:cs="Arial"/>
                      <w:sz w:val="19"/>
                      <w:szCs w:val="19"/>
                    </w:rPr>
                    <w:t xml:space="preserve">Production </w:t>
                  </w:r>
                </w:p>
                <w:p w14:paraId="06B105C3" w14:textId="2D01A081" w:rsidR="00D75E17" w:rsidRDefault="00D75E17" w:rsidP="00D75E17">
                  <w:pPr>
                    <w:jc w:val="left"/>
                    <w:rPr>
                      <w:rFonts w:eastAsia="Arial" w:cs="Arial"/>
                      <w:sz w:val="19"/>
                      <w:szCs w:val="19"/>
                    </w:rPr>
                  </w:pPr>
                  <w:r>
                    <w:rPr>
                      <w:rFonts w:eastAsia="Arial" w:cs="Arial"/>
                      <w:sz w:val="19"/>
                      <w:szCs w:val="19"/>
                    </w:rPr>
                    <w:t>Sale / Distribution</w:t>
                  </w:r>
                </w:p>
                <w:p w14:paraId="5036BE24" w14:textId="77777777" w:rsidR="00D75E17" w:rsidRDefault="00D75E17" w:rsidP="00D75E17">
                  <w:pPr>
                    <w:jc w:val="left"/>
                    <w:rPr>
                      <w:rFonts w:eastAsia="Arial" w:cs="Arial"/>
                      <w:sz w:val="19"/>
                      <w:szCs w:val="19"/>
                    </w:rPr>
                  </w:pPr>
                </w:p>
              </w:tc>
              <w:tc>
                <w:tcPr>
                  <w:tcW w:w="1705" w:type="dxa"/>
                </w:tcPr>
                <w:p w14:paraId="1A53BACC" w14:textId="25C1405D" w:rsidR="00745E76" w:rsidRDefault="00CA6DC4" w:rsidP="00745E76">
                  <w:pPr>
                    <w:rPr>
                      <w:rFonts w:eastAsia="Arial" w:cs="Arial"/>
                      <w:sz w:val="19"/>
                      <w:szCs w:val="19"/>
                    </w:rPr>
                  </w:pPr>
                  <w:r>
                    <w:rPr>
                      <w:rFonts w:eastAsia="Arial" w:cs="Arial"/>
                      <w:sz w:val="19"/>
                      <w:szCs w:val="19"/>
                    </w:rPr>
                    <w:t>15</w:t>
                  </w:r>
                  <w:r w:rsidR="00745E76">
                    <w:rPr>
                      <w:rFonts w:eastAsia="Arial" w:cs="Arial"/>
                      <w:sz w:val="19"/>
                      <w:szCs w:val="19"/>
                    </w:rPr>
                    <w:t>%</w:t>
                  </w:r>
                </w:p>
                <w:p w14:paraId="5F293CAC" w14:textId="26C319CB" w:rsidR="00D75E17" w:rsidRDefault="00CA6DC4" w:rsidP="00745E76">
                  <w:pPr>
                    <w:rPr>
                      <w:rFonts w:eastAsia="Arial" w:cs="Arial"/>
                      <w:sz w:val="19"/>
                      <w:szCs w:val="19"/>
                    </w:rPr>
                  </w:pPr>
                  <w:r>
                    <w:rPr>
                      <w:rFonts w:eastAsia="Arial" w:cs="Arial"/>
                      <w:sz w:val="19"/>
                      <w:szCs w:val="19"/>
                    </w:rPr>
                    <w:t>15</w:t>
                  </w:r>
                  <w:r w:rsidR="00D02BD8">
                    <w:rPr>
                      <w:rFonts w:eastAsia="Arial" w:cs="Arial"/>
                      <w:sz w:val="19"/>
                      <w:szCs w:val="19"/>
                    </w:rPr>
                    <w:t>%</w:t>
                  </w:r>
                </w:p>
              </w:tc>
            </w:tr>
            <w:tr w:rsidR="00D75E17" w14:paraId="70F39FD4" w14:textId="77777777" w:rsidTr="00EF071D">
              <w:tc>
                <w:tcPr>
                  <w:tcW w:w="2122" w:type="dxa"/>
                </w:tcPr>
                <w:p w14:paraId="2530A86A" w14:textId="01A206E7" w:rsidR="00D75E17" w:rsidRDefault="006D46C6" w:rsidP="00D75E17">
                  <w:pPr>
                    <w:spacing w:after="260"/>
                    <w:jc w:val="left"/>
                    <w:rPr>
                      <w:rFonts w:eastAsia="Arial" w:cs="Arial"/>
                      <w:sz w:val="19"/>
                      <w:szCs w:val="19"/>
                    </w:rPr>
                  </w:pPr>
                  <w:r>
                    <w:rPr>
                      <w:rFonts w:eastAsia="Arial" w:cs="Arial"/>
                      <w:sz w:val="19"/>
                      <w:szCs w:val="19"/>
                    </w:rPr>
                    <w:t>Cannabis</w:t>
                  </w:r>
                  <w:r w:rsidR="00D75E17">
                    <w:rPr>
                      <w:rFonts w:eastAsia="Arial" w:cs="Arial"/>
                      <w:sz w:val="19"/>
                      <w:szCs w:val="19"/>
                    </w:rPr>
                    <w:t xml:space="preserve"> </w:t>
                  </w:r>
                </w:p>
              </w:tc>
              <w:tc>
                <w:tcPr>
                  <w:tcW w:w="3260" w:type="dxa"/>
                </w:tcPr>
                <w:p w14:paraId="56B9B5E2" w14:textId="77777777" w:rsidR="00D75E17" w:rsidRDefault="00D75E17" w:rsidP="00D75E17">
                  <w:pPr>
                    <w:jc w:val="left"/>
                    <w:rPr>
                      <w:rFonts w:eastAsia="Arial" w:cs="Arial"/>
                      <w:sz w:val="19"/>
                      <w:szCs w:val="19"/>
                    </w:rPr>
                  </w:pPr>
                  <w:r>
                    <w:rPr>
                      <w:rFonts w:eastAsia="Arial" w:cs="Arial"/>
                      <w:sz w:val="19"/>
                      <w:szCs w:val="19"/>
                    </w:rPr>
                    <w:t>Production</w:t>
                  </w:r>
                </w:p>
                <w:p w14:paraId="2D8394F7" w14:textId="7B96B479" w:rsidR="00D75E17" w:rsidRDefault="00D75E17" w:rsidP="00D75E17">
                  <w:pPr>
                    <w:jc w:val="left"/>
                    <w:rPr>
                      <w:rFonts w:eastAsia="Arial" w:cs="Arial"/>
                      <w:sz w:val="19"/>
                      <w:szCs w:val="19"/>
                    </w:rPr>
                  </w:pPr>
                  <w:r>
                    <w:rPr>
                      <w:rFonts w:eastAsia="Arial" w:cs="Arial"/>
                      <w:sz w:val="19"/>
                      <w:szCs w:val="19"/>
                    </w:rPr>
                    <w:t>Sale / Distribution</w:t>
                  </w:r>
                </w:p>
                <w:p w14:paraId="2BF696DB" w14:textId="77777777" w:rsidR="00D75E17" w:rsidRDefault="00D75E17" w:rsidP="00D75E17">
                  <w:pPr>
                    <w:jc w:val="left"/>
                    <w:rPr>
                      <w:rFonts w:eastAsia="Arial" w:cs="Arial"/>
                      <w:sz w:val="19"/>
                      <w:szCs w:val="19"/>
                    </w:rPr>
                  </w:pPr>
                </w:p>
              </w:tc>
              <w:tc>
                <w:tcPr>
                  <w:tcW w:w="1705" w:type="dxa"/>
                </w:tcPr>
                <w:p w14:paraId="2CCE71A0" w14:textId="5C7B4116" w:rsidR="00745E76" w:rsidRDefault="00453027" w:rsidP="00745E76">
                  <w:pPr>
                    <w:rPr>
                      <w:rFonts w:eastAsia="Arial" w:cs="Arial"/>
                      <w:sz w:val="19"/>
                      <w:szCs w:val="19"/>
                    </w:rPr>
                  </w:pPr>
                  <w:r>
                    <w:rPr>
                      <w:rFonts w:eastAsia="Arial" w:cs="Arial"/>
                      <w:sz w:val="19"/>
                      <w:szCs w:val="19"/>
                    </w:rPr>
                    <w:t>0</w:t>
                  </w:r>
                  <w:r w:rsidR="00745E76">
                    <w:rPr>
                      <w:rFonts w:eastAsia="Arial" w:cs="Arial"/>
                      <w:sz w:val="19"/>
                      <w:szCs w:val="19"/>
                    </w:rPr>
                    <w:t>%</w:t>
                  </w:r>
                </w:p>
                <w:p w14:paraId="2E062235" w14:textId="51058990" w:rsidR="00D75E17" w:rsidRDefault="00453027" w:rsidP="00745E76">
                  <w:pPr>
                    <w:rPr>
                      <w:rFonts w:eastAsia="Arial" w:cs="Arial"/>
                      <w:sz w:val="19"/>
                      <w:szCs w:val="19"/>
                    </w:rPr>
                  </w:pPr>
                  <w:r>
                    <w:rPr>
                      <w:rFonts w:eastAsia="Arial" w:cs="Arial"/>
                      <w:sz w:val="19"/>
                      <w:szCs w:val="19"/>
                    </w:rPr>
                    <w:t>5</w:t>
                  </w:r>
                  <w:r w:rsidR="00745E76">
                    <w:rPr>
                      <w:rFonts w:eastAsia="Arial" w:cs="Arial"/>
                      <w:sz w:val="19"/>
                      <w:szCs w:val="19"/>
                    </w:rPr>
                    <w:t>%</w:t>
                  </w:r>
                </w:p>
              </w:tc>
            </w:tr>
            <w:tr w:rsidR="00D75E17" w14:paraId="3A2294BC" w14:textId="77777777" w:rsidTr="00EF071D">
              <w:tc>
                <w:tcPr>
                  <w:tcW w:w="2122" w:type="dxa"/>
                </w:tcPr>
                <w:p w14:paraId="0BEDA676" w14:textId="4755396A" w:rsidR="00D75E17" w:rsidRDefault="00D75E17" w:rsidP="00D75E17">
                  <w:pPr>
                    <w:spacing w:after="260"/>
                    <w:jc w:val="left"/>
                    <w:rPr>
                      <w:rFonts w:eastAsia="Arial" w:cs="Arial"/>
                      <w:sz w:val="19"/>
                      <w:szCs w:val="19"/>
                    </w:rPr>
                  </w:pPr>
                  <w:r>
                    <w:rPr>
                      <w:rFonts w:eastAsia="Arial" w:cs="Arial"/>
                      <w:sz w:val="19"/>
                      <w:szCs w:val="19"/>
                    </w:rPr>
                    <w:t>Controversial Weapons</w:t>
                  </w:r>
                </w:p>
              </w:tc>
              <w:tc>
                <w:tcPr>
                  <w:tcW w:w="3260" w:type="dxa"/>
                </w:tcPr>
                <w:p w14:paraId="3717A721" w14:textId="77777777" w:rsidR="00D75E17" w:rsidRDefault="00D75E17" w:rsidP="00D75E17">
                  <w:pPr>
                    <w:jc w:val="left"/>
                    <w:rPr>
                      <w:rFonts w:eastAsia="Arial" w:cs="Arial"/>
                      <w:sz w:val="19"/>
                      <w:szCs w:val="19"/>
                    </w:rPr>
                  </w:pPr>
                  <w:r>
                    <w:rPr>
                      <w:rFonts w:eastAsia="Arial" w:cs="Arial"/>
                      <w:sz w:val="19"/>
                      <w:szCs w:val="19"/>
                    </w:rPr>
                    <w:t>Production</w:t>
                  </w:r>
                </w:p>
                <w:p w14:paraId="2173618D" w14:textId="61A30528" w:rsidR="00D75E17" w:rsidRDefault="00D75E17" w:rsidP="00D75E17">
                  <w:pPr>
                    <w:jc w:val="left"/>
                    <w:rPr>
                      <w:rFonts w:eastAsia="Arial" w:cs="Arial"/>
                      <w:sz w:val="19"/>
                      <w:szCs w:val="19"/>
                    </w:rPr>
                  </w:pPr>
                  <w:r>
                    <w:rPr>
                      <w:rFonts w:eastAsia="Arial" w:cs="Arial"/>
                      <w:sz w:val="19"/>
                      <w:szCs w:val="19"/>
                    </w:rPr>
                    <w:t>Sale / Distribution</w:t>
                  </w:r>
                </w:p>
                <w:p w14:paraId="6272196A" w14:textId="77777777" w:rsidR="00D75E17" w:rsidRDefault="00D75E17" w:rsidP="00D75E17">
                  <w:pPr>
                    <w:jc w:val="left"/>
                    <w:rPr>
                      <w:rFonts w:eastAsia="Arial" w:cs="Arial"/>
                      <w:sz w:val="19"/>
                      <w:szCs w:val="19"/>
                    </w:rPr>
                  </w:pPr>
                </w:p>
              </w:tc>
              <w:tc>
                <w:tcPr>
                  <w:tcW w:w="1705" w:type="dxa"/>
                </w:tcPr>
                <w:p w14:paraId="529F5579" w14:textId="73957128" w:rsidR="00745E76" w:rsidRDefault="00D127C8" w:rsidP="00745E76">
                  <w:pPr>
                    <w:rPr>
                      <w:rFonts w:eastAsia="Arial" w:cs="Arial"/>
                      <w:sz w:val="19"/>
                      <w:szCs w:val="19"/>
                    </w:rPr>
                  </w:pPr>
                  <w:r>
                    <w:rPr>
                      <w:rFonts w:eastAsia="Arial" w:cs="Arial"/>
                      <w:sz w:val="19"/>
                      <w:szCs w:val="19"/>
                    </w:rPr>
                    <w:t>0</w:t>
                  </w:r>
                  <w:r w:rsidR="00745E76">
                    <w:rPr>
                      <w:rFonts w:eastAsia="Arial" w:cs="Arial"/>
                      <w:sz w:val="19"/>
                      <w:szCs w:val="19"/>
                    </w:rPr>
                    <w:t>%</w:t>
                  </w:r>
                </w:p>
                <w:p w14:paraId="4E45E461" w14:textId="23BD1D1E" w:rsidR="00D75E17" w:rsidRDefault="00D127C8" w:rsidP="00745E76">
                  <w:pPr>
                    <w:spacing w:after="260"/>
                    <w:rPr>
                      <w:rFonts w:eastAsia="Arial" w:cs="Arial"/>
                      <w:sz w:val="19"/>
                      <w:szCs w:val="19"/>
                    </w:rPr>
                  </w:pPr>
                  <w:r>
                    <w:rPr>
                      <w:rFonts w:eastAsia="Arial" w:cs="Arial"/>
                      <w:sz w:val="19"/>
                      <w:szCs w:val="19"/>
                    </w:rPr>
                    <w:t>0</w:t>
                  </w:r>
                  <w:r w:rsidR="00745E76">
                    <w:rPr>
                      <w:rFonts w:eastAsia="Arial" w:cs="Arial"/>
                      <w:sz w:val="19"/>
                      <w:szCs w:val="19"/>
                    </w:rPr>
                    <w:t>%</w:t>
                  </w:r>
                </w:p>
              </w:tc>
            </w:tr>
            <w:tr w:rsidR="00D75E17" w14:paraId="479D5D86" w14:textId="77777777" w:rsidTr="00EF071D">
              <w:tc>
                <w:tcPr>
                  <w:tcW w:w="2122" w:type="dxa"/>
                </w:tcPr>
                <w:p w14:paraId="2E78B0FC" w14:textId="5F0E98DC" w:rsidR="00D75E17" w:rsidRDefault="006D46C6" w:rsidP="00D75E17">
                  <w:pPr>
                    <w:spacing w:after="260"/>
                    <w:jc w:val="left"/>
                    <w:rPr>
                      <w:rFonts w:eastAsia="Arial" w:cs="Arial"/>
                      <w:sz w:val="19"/>
                      <w:szCs w:val="19"/>
                    </w:rPr>
                  </w:pPr>
                  <w:r w:rsidRPr="00C23444">
                    <w:rPr>
                      <w:rFonts w:eastAsia="Arial" w:cs="Arial"/>
                      <w:sz w:val="19"/>
                      <w:szCs w:val="19"/>
                    </w:rPr>
                    <w:t>Nuclear weapons</w:t>
                  </w:r>
                  <w:r w:rsidR="00D75E17" w:rsidRPr="00C23444">
                    <w:rPr>
                      <w:rFonts w:eastAsia="Arial" w:cs="Arial"/>
                      <w:sz w:val="19"/>
                      <w:szCs w:val="19"/>
                    </w:rPr>
                    <w:t xml:space="preserve"> </w:t>
                  </w:r>
                  <w:r w:rsidR="00D75E17">
                    <w:rPr>
                      <w:rFonts w:eastAsia="Arial" w:cs="Arial"/>
                      <w:sz w:val="19"/>
                      <w:szCs w:val="19"/>
                    </w:rPr>
                    <w:t>(</w:t>
                  </w:r>
                  <w:r w:rsidR="00D75E17" w:rsidRPr="00C23444">
                    <w:rPr>
                      <w:rFonts w:eastAsia="Arial" w:cs="Arial"/>
                      <w:sz w:val="19"/>
                      <w:szCs w:val="19"/>
                    </w:rPr>
                    <w:t>warheads and missiles, fissile</w:t>
                  </w:r>
                  <w:r w:rsidR="00D75E17">
                    <w:rPr>
                      <w:rFonts w:eastAsia="Arial" w:cs="Arial"/>
                      <w:sz w:val="19"/>
                      <w:szCs w:val="19"/>
                    </w:rPr>
                    <w:t xml:space="preserve"> </w:t>
                  </w:r>
                  <w:r w:rsidR="00D75E17" w:rsidRPr="00C23444">
                    <w:rPr>
                      <w:rFonts w:eastAsia="Arial" w:cs="Arial"/>
                      <w:sz w:val="19"/>
                      <w:szCs w:val="19"/>
                    </w:rPr>
                    <w:t>material, exclusive-use components</w:t>
                  </w:r>
                  <w:r w:rsidR="00D75E17">
                    <w:rPr>
                      <w:rFonts w:eastAsia="Arial" w:cs="Arial"/>
                      <w:sz w:val="19"/>
                      <w:szCs w:val="19"/>
                    </w:rPr>
                    <w:t>)</w:t>
                  </w:r>
                </w:p>
              </w:tc>
              <w:tc>
                <w:tcPr>
                  <w:tcW w:w="3260" w:type="dxa"/>
                </w:tcPr>
                <w:p w14:paraId="672A6DD7" w14:textId="2255DB3F" w:rsidR="00D75E17" w:rsidRDefault="00D75E17" w:rsidP="00D75E17">
                  <w:pPr>
                    <w:jc w:val="left"/>
                    <w:rPr>
                      <w:rFonts w:eastAsia="Arial" w:cs="Arial"/>
                      <w:sz w:val="19"/>
                      <w:szCs w:val="19"/>
                    </w:rPr>
                  </w:pPr>
                  <w:r>
                    <w:rPr>
                      <w:rFonts w:eastAsia="Arial" w:cs="Arial"/>
                      <w:sz w:val="19"/>
                      <w:szCs w:val="19"/>
                    </w:rPr>
                    <w:t>Manufacture</w:t>
                  </w:r>
                </w:p>
              </w:tc>
              <w:tc>
                <w:tcPr>
                  <w:tcW w:w="1705" w:type="dxa"/>
                </w:tcPr>
                <w:p w14:paraId="7E26E623" w14:textId="53540DE0" w:rsidR="00745E76" w:rsidRDefault="00453027" w:rsidP="00745E76">
                  <w:pPr>
                    <w:rPr>
                      <w:rFonts w:eastAsia="Arial" w:cs="Arial"/>
                      <w:sz w:val="19"/>
                      <w:szCs w:val="19"/>
                    </w:rPr>
                  </w:pPr>
                  <w:r>
                    <w:rPr>
                      <w:rFonts w:eastAsia="Arial" w:cs="Arial"/>
                      <w:sz w:val="19"/>
                      <w:szCs w:val="19"/>
                    </w:rPr>
                    <w:t>0</w:t>
                  </w:r>
                  <w:r w:rsidR="00745E76">
                    <w:rPr>
                      <w:rFonts w:eastAsia="Arial" w:cs="Arial"/>
                      <w:sz w:val="19"/>
                      <w:szCs w:val="19"/>
                    </w:rPr>
                    <w:t>%</w:t>
                  </w:r>
                </w:p>
                <w:p w14:paraId="61C4B715" w14:textId="00E7CCF4" w:rsidR="00D75E17" w:rsidRDefault="00D75E17" w:rsidP="00745E76">
                  <w:pPr>
                    <w:spacing w:after="260"/>
                    <w:rPr>
                      <w:rFonts w:eastAsia="Arial" w:cs="Arial"/>
                      <w:sz w:val="19"/>
                      <w:szCs w:val="19"/>
                    </w:rPr>
                  </w:pPr>
                </w:p>
              </w:tc>
            </w:tr>
          </w:tbl>
          <w:p w14:paraId="6072B4A8" w14:textId="77777777" w:rsidR="00C354C0" w:rsidRPr="00C354C0" w:rsidRDefault="00C354C0" w:rsidP="00EC2858">
            <w:pPr>
              <w:spacing w:after="160" w:line="256" w:lineRule="auto"/>
              <w:contextualSpacing/>
              <w:jc w:val="left"/>
            </w:pPr>
          </w:p>
          <w:p w14:paraId="6D9B83B7" w14:textId="77777777" w:rsidR="00B36B8F" w:rsidRPr="00C354C0" w:rsidRDefault="00B36B8F" w:rsidP="00EC2858">
            <w:pPr>
              <w:pStyle w:val="ListParagraph"/>
              <w:rPr>
                <w:szCs w:val="24"/>
              </w:rPr>
            </w:pPr>
          </w:p>
          <w:p w14:paraId="7144EB31" w14:textId="4E0B0DF5" w:rsidR="0028214E" w:rsidRDefault="000F1A39" w:rsidP="00EF071D">
            <w:pPr>
              <w:pStyle w:val="ListParagraph"/>
              <w:numPr>
                <w:ilvl w:val="0"/>
                <w:numId w:val="32"/>
              </w:numPr>
              <w:spacing w:after="160" w:line="256" w:lineRule="auto"/>
              <w:contextualSpacing/>
            </w:pPr>
            <w:bookmarkStart w:id="47" w:name="_Hlk120005582"/>
            <w:r w:rsidRPr="000F1A39">
              <w:rPr>
                <w:rFonts w:cs="Arial"/>
              </w:rPr>
              <w:t>The Fund assesses the ESG Scores derived fr</w:t>
            </w:r>
            <w:r w:rsidR="00EA7B49">
              <w:rPr>
                <w:rFonts w:cs="Arial"/>
              </w:rPr>
              <w:t>om Tru</w:t>
            </w:r>
            <w:r w:rsidR="006D46C6">
              <w:rPr>
                <w:rFonts w:cs="Arial"/>
              </w:rPr>
              <w:t>e</w:t>
            </w:r>
            <w:r w:rsidR="00EA7B49">
              <w:rPr>
                <w:rFonts w:cs="Arial"/>
              </w:rPr>
              <w:t>Value Labs SASB Category S</w:t>
            </w:r>
            <w:r w:rsidRPr="000F1A39">
              <w:rPr>
                <w:rFonts w:cs="Arial"/>
              </w:rPr>
              <w:t xml:space="preserve">cores </w:t>
            </w:r>
            <w:r w:rsidR="00EA7B49">
              <w:rPr>
                <w:rFonts w:cs="Arial"/>
              </w:rPr>
              <w:t xml:space="preserve">as </w:t>
            </w:r>
            <w:r w:rsidRPr="000F1A39">
              <w:rPr>
                <w:rFonts w:cs="Arial"/>
              </w:rPr>
              <w:t>described in further detail above and will exclude direct exposure to issuers who fail to meet</w:t>
            </w:r>
            <w:r w:rsidR="00EA7B49">
              <w:rPr>
                <w:rFonts w:cs="Arial"/>
              </w:rPr>
              <w:t xml:space="preserve"> the relevant</w:t>
            </w:r>
            <w:r w:rsidRPr="000F1A39">
              <w:rPr>
                <w:rFonts w:cs="Arial"/>
              </w:rPr>
              <w:t xml:space="preserve"> internal scoring thresholds set by the Investment Manager. </w:t>
            </w:r>
            <w:bookmarkEnd w:id="47"/>
            <w:r>
              <w:rPr>
                <w:lang w:eastAsia="en-GB"/>
              </w:rPr>
              <w:t> </w:t>
            </w:r>
          </w:p>
          <w:p w14:paraId="7BFFA804" w14:textId="77777777" w:rsidR="0028214E" w:rsidRDefault="0028214E" w:rsidP="00EF071D">
            <w:pPr>
              <w:pStyle w:val="ListParagraph"/>
              <w:rPr>
                <w:lang w:eastAsia="en-GB"/>
              </w:rPr>
            </w:pPr>
          </w:p>
          <w:p w14:paraId="3A48F7A3" w14:textId="7A9FE2E7" w:rsidR="000F1A39" w:rsidRDefault="0028214E" w:rsidP="00EF071D">
            <w:pPr>
              <w:pStyle w:val="ListParagraph"/>
              <w:numPr>
                <w:ilvl w:val="0"/>
                <w:numId w:val="32"/>
              </w:numPr>
              <w:spacing w:after="160" w:line="256" w:lineRule="auto"/>
              <w:contextualSpacing/>
            </w:pPr>
            <w:r>
              <w:rPr>
                <w:lang w:eastAsia="en-GB"/>
              </w:rPr>
              <w:t>The Investment Manager may determine to invest in compan</w:t>
            </w:r>
            <w:r w:rsidR="00D57FA9">
              <w:rPr>
                <w:lang w:eastAsia="en-GB"/>
              </w:rPr>
              <w:t>ies</w:t>
            </w:r>
            <w:r>
              <w:rPr>
                <w:lang w:eastAsia="en-GB"/>
              </w:rPr>
              <w:t xml:space="preserve"> which meet the above exclusionary criteria but which have </w:t>
            </w:r>
            <w:r w:rsidRPr="0028214E">
              <w:rPr>
                <w:lang w:eastAsia="en-GB"/>
              </w:rPr>
              <w:t xml:space="preserve">a lower </w:t>
            </w:r>
            <w:r>
              <w:rPr>
                <w:lang w:eastAsia="en-GB"/>
              </w:rPr>
              <w:t xml:space="preserve">current </w:t>
            </w:r>
            <w:r w:rsidRPr="0028214E">
              <w:rPr>
                <w:lang w:eastAsia="en-GB"/>
              </w:rPr>
              <w:t>ESG score</w:t>
            </w:r>
            <w:r>
              <w:rPr>
                <w:lang w:eastAsia="en-GB"/>
              </w:rPr>
              <w:t xml:space="preserve"> in terms of </w:t>
            </w:r>
            <w:r w:rsidR="00D57FA9">
              <w:rPr>
                <w:lang w:eastAsia="en-GB"/>
              </w:rPr>
              <w:t xml:space="preserve">the </w:t>
            </w:r>
            <w:r>
              <w:rPr>
                <w:lang w:eastAsia="en-GB"/>
              </w:rPr>
              <w:t>positive screening process</w:t>
            </w:r>
            <w:r w:rsidRPr="0028214E">
              <w:rPr>
                <w:lang w:eastAsia="en-GB"/>
              </w:rPr>
              <w:t xml:space="preserve"> where it is satisfied that such eligible asset</w:t>
            </w:r>
            <w:r w:rsidR="00D57FA9">
              <w:rPr>
                <w:lang w:eastAsia="en-GB"/>
              </w:rPr>
              <w:t>s</w:t>
            </w:r>
            <w:r w:rsidRPr="0028214E">
              <w:rPr>
                <w:lang w:eastAsia="en-GB"/>
              </w:rPr>
              <w:t xml:space="preserve"> ha</w:t>
            </w:r>
            <w:r w:rsidR="00D57FA9">
              <w:rPr>
                <w:lang w:eastAsia="en-GB"/>
              </w:rPr>
              <w:t>ve</w:t>
            </w:r>
            <w:r w:rsidRPr="0028214E">
              <w:rPr>
                <w:lang w:eastAsia="en-GB"/>
              </w:rPr>
              <w:t xml:space="preserve"> demonstrated a positive rate of change and it believes that a change by such target asset</w:t>
            </w:r>
            <w:r w:rsidR="00440872">
              <w:rPr>
                <w:lang w:eastAsia="en-GB"/>
              </w:rPr>
              <w:t>s</w:t>
            </w:r>
            <w:r w:rsidRPr="0028214E">
              <w:rPr>
                <w:lang w:eastAsia="en-GB"/>
              </w:rPr>
              <w:t xml:space="preserve"> will have a material impact in promoting environmental or social characteristics.</w:t>
            </w:r>
          </w:p>
          <w:p w14:paraId="3BF51679" w14:textId="77777777" w:rsidR="009600CF" w:rsidRPr="00ED75A7" w:rsidRDefault="009600CF" w:rsidP="00EC2858">
            <w:pPr>
              <w:spacing w:after="160" w:line="256" w:lineRule="auto"/>
              <w:contextualSpacing/>
              <w:jc w:val="left"/>
            </w:pPr>
          </w:p>
        </w:tc>
      </w:tr>
      <w:tr w:rsidR="009600CF" w14:paraId="6E034D77" w14:textId="77777777" w:rsidTr="00681ABF">
        <w:trPr>
          <w:trHeight w:val="20"/>
        </w:trPr>
        <w:tc>
          <w:tcPr>
            <w:tcW w:w="2119" w:type="dxa"/>
            <w:gridSpan w:val="2"/>
            <w:vMerge/>
            <w:shd w:val="clear" w:color="auto" w:fill="FFFFFF" w:themeFill="background1"/>
          </w:tcPr>
          <w:p w14:paraId="7D5DB8A6" w14:textId="77777777" w:rsidR="009600CF" w:rsidRPr="001B7166" w:rsidRDefault="009600CF" w:rsidP="00F167F7">
            <w:pPr>
              <w:pStyle w:val="BodyText"/>
              <w:jc w:val="left"/>
              <w:rPr>
                <w:rFonts w:asciiTheme="minorHAnsi" w:eastAsia="MS Gothic" w:hAnsiTheme="minorHAnsi" w:cstheme="minorHAnsi"/>
                <w:b/>
              </w:rPr>
            </w:pPr>
          </w:p>
        </w:tc>
        <w:tc>
          <w:tcPr>
            <w:tcW w:w="236" w:type="dxa"/>
            <w:vMerge/>
            <w:shd w:val="clear" w:color="auto" w:fill="FFFFFF" w:themeFill="background1"/>
          </w:tcPr>
          <w:p w14:paraId="0F81B3F1" w14:textId="77777777" w:rsidR="009600CF" w:rsidRPr="001A487C" w:rsidRDefault="009600CF" w:rsidP="00F167F7">
            <w:pPr>
              <w:pStyle w:val="BodyText"/>
              <w:jc w:val="left"/>
              <w:rPr>
                <w:rFonts w:eastAsia="Calibri" w:cs="Arial"/>
                <w:bCs/>
                <w:iCs/>
                <w:noProof/>
                <w:szCs w:val="22"/>
              </w:rPr>
            </w:pPr>
          </w:p>
        </w:tc>
        <w:tc>
          <w:tcPr>
            <w:tcW w:w="567" w:type="dxa"/>
            <w:gridSpan w:val="3"/>
            <w:vMerge/>
            <w:shd w:val="clear" w:color="auto" w:fill="FFFFFF" w:themeFill="background1"/>
          </w:tcPr>
          <w:p w14:paraId="7DE0CCEF" w14:textId="77777777" w:rsidR="009600CF" w:rsidRPr="00776340" w:rsidRDefault="009600CF" w:rsidP="00F167F7">
            <w:pPr>
              <w:pStyle w:val="BodyText"/>
              <w:jc w:val="left"/>
              <w:rPr>
                <w:rFonts w:ascii="Calibri" w:eastAsia="Calibri" w:hAnsi="Calibri"/>
                <w:b/>
                <w:bCs/>
                <w:i/>
                <w:iCs/>
                <w:noProof/>
                <w:szCs w:val="22"/>
              </w:rPr>
            </w:pPr>
          </w:p>
        </w:tc>
        <w:tc>
          <w:tcPr>
            <w:tcW w:w="7852" w:type="dxa"/>
            <w:gridSpan w:val="7"/>
            <w:shd w:val="clear" w:color="auto" w:fill="FFFFFF" w:themeFill="background1"/>
          </w:tcPr>
          <w:p w14:paraId="3422E95B" w14:textId="32CE772D" w:rsidR="009600CF" w:rsidRDefault="009600CF" w:rsidP="00F167F7">
            <w:pPr>
              <w:pStyle w:val="3lineandparagraphspacingjustified"/>
              <w:spacing w:line="276" w:lineRule="auto"/>
              <w:ind w:left="364" w:firstLine="0"/>
              <w:rPr>
                <w:rFonts w:eastAsiaTheme="minorHAnsi" w:cstheme="minorBidi"/>
                <w:spacing w:val="0"/>
                <w:sz w:val="20"/>
                <w:szCs w:val="20"/>
              </w:rPr>
            </w:pPr>
            <w:r w:rsidRPr="00920BE1">
              <w:rPr>
                <w:rFonts w:eastAsiaTheme="minorHAnsi" w:cstheme="minorBidi"/>
                <w:spacing w:val="0"/>
                <w:sz w:val="20"/>
                <w:szCs w:val="20"/>
              </w:rPr>
              <w:t>These binding elements are measurable</w:t>
            </w:r>
            <w:r>
              <w:rPr>
                <w:rFonts w:eastAsiaTheme="minorHAnsi" w:cstheme="minorBidi"/>
                <w:spacing w:val="0"/>
                <w:sz w:val="20"/>
                <w:szCs w:val="20"/>
              </w:rPr>
              <w:t xml:space="preserve"> and are assessed against the Investment Manager's proprietary scoring system which considers </w:t>
            </w:r>
            <w:r w:rsidRPr="00F43F4D">
              <w:rPr>
                <w:rFonts w:eastAsiaTheme="minorHAnsi" w:cstheme="minorBidi"/>
                <w:spacing w:val="0"/>
                <w:sz w:val="20"/>
                <w:szCs w:val="20"/>
              </w:rPr>
              <w:t>target investments against the above metrics</w:t>
            </w:r>
            <w:r>
              <w:rPr>
                <w:rFonts w:eastAsiaTheme="minorHAnsi" w:cstheme="minorBidi"/>
                <w:spacing w:val="0"/>
                <w:sz w:val="20"/>
                <w:szCs w:val="20"/>
              </w:rPr>
              <w:t xml:space="preserve">, with issuers who fall </w:t>
            </w:r>
            <w:r w:rsidRPr="00F43F4D">
              <w:rPr>
                <w:rFonts w:eastAsiaTheme="minorHAnsi" w:cstheme="minorBidi"/>
                <w:spacing w:val="0"/>
                <w:sz w:val="20"/>
                <w:szCs w:val="20"/>
              </w:rPr>
              <w:t>below a relevant threshold excluded from the investment process.</w:t>
            </w:r>
            <w:r>
              <w:rPr>
                <w:rFonts w:eastAsiaTheme="minorHAnsi" w:cstheme="minorBidi"/>
                <w:spacing w:val="0"/>
                <w:sz w:val="20"/>
                <w:szCs w:val="20"/>
              </w:rPr>
              <w:t xml:space="preserve"> Further information in relation to the relevant thresholds under the Investment Managers' scoring system is available on request</w:t>
            </w:r>
          </w:p>
          <w:p w14:paraId="68BE2B4E" w14:textId="77777777" w:rsidR="00AD1F4F" w:rsidRDefault="00AD1F4F" w:rsidP="00F167F7">
            <w:pPr>
              <w:pStyle w:val="3lineandparagraphspacingjustified"/>
              <w:spacing w:line="276" w:lineRule="auto"/>
              <w:ind w:left="364" w:firstLine="0"/>
              <w:rPr>
                <w:rFonts w:eastAsiaTheme="minorHAnsi" w:cstheme="minorBidi"/>
                <w:spacing w:val="0"/>
                <w:sz w:val="20"/>
                <w:szCs w:val="20"/>
              </w:rPr>
            </w:pPr>
          </w:p>
          <w:p w14:paraId="5722E150" w14:textId="77777777" w:rsidR="00516834" w:rsidRDefault="00516834" w:rsidP="00F167F7"/>
          <w:p w14:paraId="3A5F1DB4" w14:textId="77777777" w:rsidR="00516834" w:rsidRPr="00ED75A7" w:rsidRDefault="00516834" w:rsidP="00F167F7"/>
        </w:tc>
      </w:tr>
      <w:tr w:rsidR="009600CF" w14:paraId="25E87F43" w14:textId="77777777" w:rsidTr="00681ABF">
        <w:trPr>
          <w:trHeight w:val="20"/>
        </w:trPr>
        <w:tc>
          <w:tcPr>
            <w:tcW w:w="2119" w:type="dxa"/>
            <w:gridSpan w:val="2"/>
            <w:vMerge/>
            <w:shd w:val="clear" w:color="auto" w:fill="FFFFFF" w:themeFill="background1"/>
          </w:tcPr>
          <w:p w14:paraId="0FBFCE96" w14:textId="77777777" w:rsidR="009600CF" w:rsidRPr="006F77AA" w:rsidRDefault="009600CF" w:rsidP="00F167F7">
            <w:pPr>
              <w:pStyle w:val="BodyText"/>
              <w:spacing w:before="240"/>
              <w:jc w:val="left"/>
              <w:rPr>
                <w:rFonts w:asciiTheme="minorHAnsi" w:eastAsia="MS Gothic" w:hAnsiTheme="minorHAnsi" w:cstheme="minorHAnsi"/>
                <w:sz w:val="18"/>
                <w:szCs w:val="18"/>
              </w:rPr>
            </w:pPr>
          </w:p>
        </w:tc>
        <w:tc>
          <w:tcPr>
            <w:tcW w:w="236" w:type="dxa"/>
            <w:vMerge/>
            <w:shd w:val="clear" w:color="auto" w:fill="FFFFFF" w:themeFill="background1"/>
          </w:tcPr>
          <w:p w14:paraId="4C6509D0" w14:textId="77777777" w:rsidR="009600CF" w:rsidRPr="001A487C" w:rsidRDefault="009600CF" w:rsidP="00F167F7">
            <w:pPr>
              <w:pStyle w:val="BodyText"/>
              <w:jc w:val="left"/>
              <w:rPr>
                <w:rFonts w:eastAsia="Calibri" w:cs="Arial"/>
                <w:bCs/>
                <w:iCs/>
                <w:noProof/>
                <w:szCs w:val="22"/>
              </w:rPr>
            </w:pPr>
          </w:p>
        </w:tc>
        <w:tc>
          <w:tcPr>
            <w:tcW w:w="567" w:type="dxa"/>
            <w:gridSpan w:val="3"/>
            <w:vMerge w:val="restart"/>
            <w:shd w:val="clear" w:color="auto" w:fill="FFFFFF" w:themeFill="background1"/>
          </w:tcPr>
          <w:p w14:paraId="5B3648AD" w14:textId="77777777" w:rsidR="009600CF" w:rsidRPr="001A487C" w:rsidRDefault="009600CF" w:rsidP="00A42DEF">
            <w:pPr>
              <w:pStyle w:val="Bullet1"/>
              <w:numPr>
                <w:ilvl w:val="0"/>
                <w:numId w:val="26"/>
              </w:numPr>
              <w:spacing w:before="120" w:after="120"/>
            </w:pPr>
          </w:p>
        </w:tc>
        <w:tc>
          <w:tcPr>
            <w:tcW w:w="7852" w:type="dxa"/>
            <w:gridSpan w:val="7"/>
            <w:shd w:val="clear" w:color="auto" w:fill="FFFFFF" w:themeFill="background1"/>
          </w:tcPr>
          <w:p w14:paraId="4C8F0610" w14:textId="77777777" w:rsidR="009600CF" w:rsidRPr="001A487C" w:rsidRDefault="009600CF" w:rsidP="00F167F7">
            <w:pPr>
              <w:pStyle w:val="BodyText"/>
              <w:spacing w:before="120" w:after="120"/>
              <w:rPr>
                <w:rFonts w:cs="Arial"/>
              </w:rPr>
            </w:pPr>
            <w:r w:rsidRPr="0007683E">
              <w:rPr>
                <w:rFonts w:cs="Arial"/>
                <w:b/>
                <w:i/>
              </w:rPr>
              <w:t>What is the committed minimum rate to reduce the scope of the investments considered prior to the application of that investment strategy?</w:t>
            </w:r>
            <w:r w:rsidRPr="0001320A">
              <w:rPr>
                <w:rFonts w:cs="Arial"/>
              </w:rPr>
              <w:t xml:space="preserve"> </w:t>
            </w:r>
          </w:p>
        </w:tc>
      </w:tr>
      <w:tr w:rsidR="009600CF" w14:paraId="0A74677F" w14:textId="77777777" w:rsidTr="00681ABF">
        <w:trPr>
          <w:trHeight w:val="454"/>
        </w:trPr>
        <w:tc>
          <w:tcPr>
            <w:tcW w:w="2119" w:type="dxa"/>
            <w:gridSpan w:val="2"/>
            <w:shd w:val="clear" w:color="auto" w:fill="FFFFFF" w:themeFill="background1"/>
          </w:tcPr>
          <w:p w14:paraId="6366F2F2" w14:textId="77777777" w:rsidR="009600CF" w:rsidRPr="006F77AA" w:rsidRDefault="009600CF" w:rsidP="00F167F7">
            <w:pPr>
              <w:pStyle w:val="BodyText"/>
              <w:spacing w:before="240"/>
              <w:jc w:val="left"/>
              <w:rPr>
                <w:rFonts w:asciiTheme="minorHAnsi" w:eastAsia="MS Gothic" w:hAnsiTheme="minorHAnsi" w:cstheme="minorHAnsi"/>
                <w:b/>
                <w:sz w:val="18"/>
                <w:szCs w:val="18"/>
              </w:rPr>
            </w:pPr>
          </w:p>
        </w:tc>
        <w:tc>
          <w:tcPr>
            <w:tcW w:w="236" w:type="dxa"/>
            <w:vMerge/>
            <w:shd w:val="clear" w:color="auto" w:fill="FFFFFF" w:themeFill="background1"/>
          </w:tcPr>
          <w:p w14:paraId="7F83244C" w14:textId="77777777" w:rsidR="009600CF" w:rsidRPr="001A487C" w:rsidRDefault="009600CF" w:rsidP="00F167F7">
            <w:pPr>
              <w:pStyle w:val="BodyText"/>
              <w:jc w:val="left"/>
              <w:rPr>
                <w:rFonts w:eastAsia="Calibri" w:cs="Arial"/>
                <w:bCs/>
                <w:iCs/>
                <w:noProof/>
                <w:szCs w:val="22"/>
              </w:rPr>
            </w:pPr>
          </w:p>
        </w:tc>
        <w:tc>
          <w:tcPr>
            <w:tcW w:w="567" w:type="dxa"/>
            <w:gridSpan w:val="3"/>
            <w:vMerge/>
            <w:shd w:val="clear" w:color="auto" w:fill="FFFFFF" w:themeFill="background1"/>
          </w:tcPr>
          <w:p w14:paraId="65147783" w14:textId="77777777" w:rsidR="009600CF" w:rsidRPr="001A487C" w:rsidRDefault="009600CF" w:rsidP="00A42DEF">
            <w:pPr>
              <w:pStyle w:val="Bullet1"/>
              <w:numPr>
                <w:ilvl w:val="0"/>
                <w:numId w:val="26"/>
              </w:numPr>
              <w:spacing w:before="120" w:after="120"/>
            </w:pPr>
          </w:p>
        </w:tc>
        <w:tc>
          <w:tcPr>
            <w:tcW w:w="7852" w:type="dxa"/>
            <w:gridSpan w:val="7"/>
            <w:shd w:val="clear" w:color="auto" w:fill="FFFFFF" w:themeFill="background1"/>
          </w:tcPr>
          <w:p w14:paraId="5D39B8D3" w14:textId="77777777" w:rsidR="009600CF" w:rsidRPr="005907F8" w:rsidRDefault="009600CF" w:rsidP="00F167F7">
            <w:pPr>
              <w:pStyle w:val="BodyText"/>
              <w:spacing w:before="120" w:after="120"/>
              <w:ind w:right="-390"/>
              <w:rPr>
                <w:rFonts w:cs="Arial"/>
                <w:sz w:val="18"/>
                <w:szCs w:val="18"/>
              </w:rPr>
            </w:pPr>
            <w:r>
              <w:rPr>
                <w:rFonts w:cs="Arial"/>
                <w:sz w:val="18"/>
                <w:szCs w:val="18"/>
              </w:rPr>
              <w:t>NA</w:t>
            </w:r>
          </w:p>
        </w:tc>
      </w:tr>
      <w:tr w:rsidR="009600CF" w14:paraId="7C6D3DED" w14:textId="77777777" w:rsidTr="00681ABF">
        <w:trPr>
          <w:trHeight w:val="797"/>
        </w:trPr>
        <w:tc>
          <w:tcPr>
            <w:tcW w:w="2119" w:type="dxa"/>
            <w:gridSpan w:val="2"/>
            <w:vMerge w:val="restart"/>
            <w:shd w:val="clear" w:color="auto" w:fill="F2F2F2" w:themeFill="background1" w:themeFillShade="F2"/>
          </w:tcPr>
          <w:p w14:paraId="2EB33BBE" w14:textId="77777777" w:rsidR="009600CF" w:rsidRDefault="009600CF" w:rsidP="00F167F7">
            <w:pPr>
              <w:pStyle w:val="BodyText"/>
              <w:spacing w:before="120"/>
              <w:jc w:val="left"/>
              <w:rPr>
                <w:rFonts w:ascii="MS Gothic" w:eastAsia="MS Gothic" w:hAnsi="MS Gothic"/>
              </w:rPr>
            </w:pPr>
            <w:r w:rsidRPr="006F77AA">
              <w:rPr>
                <w:rFonts w:asciiTheme="minorHAnsi" w:eastAsia="MS Gothic" w:hAnsiTheme="minorHAnsi" w:cstheme="minorHAnsi"/>
                <w:b/>
                <w:sz w:val="18"/>
                <w:szCs w:val="18"/>
              </w:rPr>
              <w:t>Good governance</w:t>
            </w:r>
            <w:r w:rsidRPr="006F77AA">
              <w:rPr>
                <w:rFonts w:asciiTheme="minorHAnsi" w:eastAsia="MS Gothic" w:hAnsiTheme="minorHAnsi" w:cstheme="minorHAnsi"/>
                <w:sz w:val="18"/>
                <w:szCs w:val="18"/>
              </w:rPr>
              <w:t xml:space="preserve"> practices include </w:t>
            </w:r>
            <w:r>
              <w:rPr>
                <w:rFonts w:asciiTheme="minorHAnsi" w:eastAsia="MS Gothic" w:hAnsiTheme="minorHAnsi" w:cstheme="minorHAnsi"/>
                <w:sz w:val="18"/>
                <w:szCs w:val="18"/>
              </w:rPr>
              <w:br/>
            </w:r>
            <w:r w:rsidRPr="006F77AA">
              <w:rPr>
                <w:rFonts w:asciiTheme="minorHAnsi" w:eastAsia="MS Gothic" w:hAnsiTheme="minorHAnsi" w:cstheme="minorHAnsi"/>
                <w:sz w:val="18"/>
                <w:szCs w:val="18"/>
              </w:rPr>
              <w:t xml:space="preserve">sound management structures, </w:t>
            </w:r>
            <w:r>
              <w:rPr>
                <w:rFonts w:asciiTheme="minorHAnsi" w:eastAsia="MS Gothic" w:hAnsiTheme="minorHAnsi" w:cstheme="minorHAnsi"/>
                <w:sz w:val="18"/>
                <w:szCs w:val="18"/>
              </w:rPr>
              <w:br/>
            </w:r>
            <w:r w:rsidRPr="006F77AA">
              <w:rPr>
                <w:rFonts w:asciiTheme="minorHAnsi" w:eastAsia="MS Gothic" w:hAnsiTheme="minorHAnsi" w:cstheme="minorHAnsi"/>
                <w:sz w:val="18"/>
                <w:szCs w:val="18"/>
              </w:rPr>
              <w:t xml:space="preserve">employee relations, remuneration of </w:t>
            </w:r>
            <w:r>
              <w:rPr>
                <w:rFonts w:asciiTheme="minorHAnsi" w:eastAsia="MS Gothic" w:hAnsiTheme="minorHAnsi" w:cstheme="minorHAnsi"/>
                <w:sz w:val="18"/>
                <w:szCs w:val="18"/>
              </w:rPr>
              <w:br/>
            </w:r>
            <w:r w:rsidRPr="006F77AA">
              <w:rPr>
                <w:rFonts w:asciiTheme="minorHAnsi" w:eastAsia="MS Gothic" w:hAnsiTheme="minorHAnsi" w:cstheme="minorHAnsi"/>
                <w:sz w:val="18"/>
                <w:szCs w:val="18"/>
              </w:rPr>
              <w:t>staff and tax compliance.</w:t>
            </w:r>
          </w:p>
        </w:tc>
        <w:tc>
          <w:tcPr>
            <w:tcW w:w="236" w:type="dxa"/>
            <w:vMerge/>
            <w:shd w:val="clear" w:color="auto" w:fill="FFFFFF" w:themeFill="background1"/>
          </w:tcPr>
          <w:p w14:paraId="2D07C23D" w14:textId="77777777" w:rsidR="009600CF" w:rsidRPr="001A487C" w:rsidRDefault="009600CF" w:rsidP="00F167F7">
            <w:pPr>
              <w:pStyle w:val="BodyText"/>
              <w:jc w:val="left"/>
              <w:rPr>
                <w:rFonts w:eastAsia="Calibri" w:cs="Arial"/>
                <w:bCs/>
                <w:iCs/>
                <w:noProof/>
                <w:szCs w:val="22"/>
              </w:rPr>
            </w:pPr>
          </w:p>
        </w:tc>
        <w:tc>
          <w:tcPr>
            <w:tcW w:w="567" w:type="dxa"/>
            <w:gridSpan w:val="3"/>
            <w:shd w:val="clear" w:color="auto" w:fill="FFFFFF" w:themeFill="background1"/>
          </w:tcPr>
          <w:p w14:paraId="1DB36C50" w14:textId="77777777" w:rsidR="009600CF" w:rsidRPr="001A487C" w:rsidRDefault="009600CF" w:rsidP="00A42DEF">
            <w:pPr>
              <w:pStyle w:val="Bullet1"/>
              <w:numPr>
                <w:ilvl w:val="0"/>
                <w:numId w:val="26"/>
              </w:numPr>
              <w:spacing w:before="120" w:after="120"/>
            </w:pPr>
          </w:p>
        </w:tc>
        <w:tc>
          <w:tcPr>
            <w:tcW w:w="7852" w:type="dxa"/>
            <w:gridSpan w:val="7"/>
            <w:shd w:val="clear" w:color="auto" w:fill="FFFFFF" w:themeFill="background1"/>
          </w:tcPr>
          <w:p w14:paraId="074EFDDA" w14:textId="77777777" w:rsidR="009600CF" w:rsidRPr="001A487C" w:rsidRDefault="009600CF" w:rsidP="00F167F7">
            <w:pPr>
              <w:pStyle w:val="BodyText"/>
              <w:spacing w:before="120" w:after="120"/>
              <w:rPr>
                <w:rFonts w:cs="Arial"/>
              </w:rPr>
            </w:pPr>
            <w:r w:rsidRPr="0007683E">
              <w:rPr>
                <w:rFonts w:cs="Arial"/>
                <w:b/>
                <w:i/>
              </w:rPr>
              <w:t>What is the policy to assess good governance practices of the investee companies?</w:t>
            </w:r>
          </w:p>
        </w:tc>
      </w:tr>
      <w:tr w:rsidR="009600CF" w14:paraId="42E025C0" w14:textId="77777777" w:rsidTr="00681ABF">
        <w:trPr>
          <w:trHeight w:val="454"/>
        </w:trPr>
        <w:tc>
          <w:tcPr>
            <w:tcW w:w="2119" w:type="dxa"/>
            <w:gridSpan w:val="2"/>
            <w:vMerge/>
            <w:shd w:val="clear" w:color="auto" w:fill="F2F2F2" w:themeFill="background1" w:themeFillShade="F2"/>
          </w:tcPr>
          <w:p w14:paraId="05EDB3F9" w14:textId="77777777" w:rsidR="009600CF" w:rsidRDefault="009600CF" w:rsidP="00F167F7">
            <w:pPr>
              <w:pStyle w:val="BodyText"/>
              <w:jc w:val="left"/>
              <w:rPr>
                <w:rFonts w:ascii="MS Gothic" w:eastAsia="MS Gothic" w:hAnsi="MS Gothic"/>
              </w:rPr>
            </w:pPr>
          </w:p>
        </w:tc>
        <w:tc>
          <w:tcPr>
            <w:tcW w:w="236" w:type="dxa"/>
            <w:vMerge/>
            <w:shd w:val="clear" w:color="auto" w:fill="FFFFFF" w:themeFill="background1"/>
          </w:tcPr>
          <w:p w14:paraId="0B1E0923" w14:textId="77777777" w:rsidR="009600CF" w:rsidRPr="001A487C" w:rsidRDefault="009600CF" w:rsidP="00F167F7">
            <w:pPr>
              <w:pStyle w:val="BodyText"/>
              <w:jc w:val="left"/>
              <w:rPr>
                <w:rFonts w:eastAsia="Calibri" w:cs="Arial"/>
                <w:bCs/>
                <w:iCs/>
                <w:noProof/>
                <w:szCs w:val="22"/>
              </w:rPr>
            </w:pPr>
          </w:p>
        </w:tc>
        <w:tc>
          <w:tcPr>
            <w:tcW w:w="567" w:type="dxa"/>
            <w:gridSpan w:val="3"/>
            <w:shd w:val="clear" w:color="auto" w:fill="FFFFFF" w:themeFill="background1"/>
          </w:tcPr>
          <w:p w14:paraId="1A51479A" w14:textId="77777777" w:rsidR="009600CF" w:rsidRPr="001A487C" w:rsidRDefault="009600CF" w:rsidP="00F167F7">
            <w:pPr>
              <w:pStyle w:val="BodyText"/>
            </w:pPr>
          </w:p>
        </w:tc>
        <w:tc>
          <w:tcPr>
            <w:tcW w:w="7852" w:type="dxa"/>
            <w:gridSpan w:val="7"/>
            <w:shd w:val="clear" w:color="auto" w:fill="FFFFFF" w:themeFill="background1"/>
          </w:tcPr>
          <w:p w14:paraId="6E23A566" w14:textId="19234846" w:rsidR="009600CF" w:rsidRDefault="009600CF" w:rsidP="00A42DEF">
            <w:pPr>
              <w:pStyle w:val="ListParagraph"/>
              <w:numPr>
                <w:ilvl w:val="0"/>
                <w:numId w:val="27"/>
              </w:numPr>
              <w:spacing w:after="160" w:line="259" w:lineRule="auto"/>
              <w:contextualSpacing/>
              <w:jc w:val="left"/>
            </w:pPr>
            <w:r w:rsidRPr="007B198D">
              <w:rPr>
                <w:szCs w:val="24"/>
                <w:lang w:val="en-US"/>
              </w:rPr>
              <w:t>Investments must follow good governance practices regarding sound management structures, employee relations, remuneration of staff and tax compliance. This is analysed through direct engagement and interaction with companies and other issuers, and leveraging data from third parties such as the Tru</w:t>
            </w:r>
            <w:r w:rsidR="006D46C6">
              <w:rPr>
                <w:szCs w:val="24"/>
                <w:lang w:val="en-US"/>
              </w:rPr>
              <w:t>e</w:t>
            </w:r>
            <w:r w:rsidRPr="007B198D">
              <w:rPr>
                <w:szCs w:val="24"/>
                <w:lang w:val="en-US"/>
              </w:rPr>
              <w:t xml:space="preserve">Value Labs SASB Scores as described in further detail above. </w:t>
            </w:r>
          </w:p>
          <w:p w14:paraId="059F1737" w14:textId="77777777" w:rsidR="007B198D" w:rsidRDefault="007B198D" w:rsidP="007B198D">
            <w:pPr>
              <w:pStyle w:val="ListParagraph"/>
              <w:spacing w:after="160" w:line="259" w:lineRule="auto"/>
              <w:contextualSpacing/>
              <w:jc w:val="left"/>
            </w:pPr>
          </w:p>
          <w:p w14:paraId="6B7693A6" w14:textId="0DE6AD28" w:rsidR="007B198D" w:rsidRPr="001442E5" w:rsidRDefault="00EA7B49" w:rsidP="00A42DEF">
            <w:pPr>
              <w:numPr>
                <w:ilvl w:val="0"/>
                <w:numId w:val="34"/>
              </w:numPr>
              <w:spacing w:after="160" w:line="252" w:lineRule="auto"/>
              <w:contextualSpacing/>
              <w:jc w:val="left"/>
              <w:rPr>
                <w:rFonts w:cs="Arial"/>
                <w:lang w:val="en-GB"/>
              </w:rPr>
            </w:pPr>
            <w:r>
              <w:rPr>
                <w:rFonts w:cs="Arial"/>
                <w:lang w:val="en-US"/>
              </w:rPr>
              <w:t xml:space="preserve">The Fund will seek to encourage good governance through its SRI voting in respect of such ownership right with the belief that this should </w:t>
            </w:r>
            <w:r>
              <w:rPr>
                <w:rFonts w:cs="Arial"/>
              </w:rPr>
              <w:t>advance principles of good corporate governance consistent with responsibilities to society as a whole</w:t>
            </w:r>
            <w:r>
              <w:rPr>
                <w:rFonts w:cs="Arial"/>
                <w:lang w:val="en-US"/>
              </w:rPr>
              <w:t xml:space="preserve"> and produce higher risk-adjusted returns over the long term.</w:t>
            </w:r>
          </w:p>
          <w:p w14:paraId="0C0F5297" w14:textId="7715050F" w:rsidR="007B198D" w:rsidRPr="007B198D" w:rsidRDefault="007B198D" w:rsidP="007B198D">
            <w:pPr>
              <w:spacing w:after="160" w:line="259" w:lineRule="auto"/>
              <w:contextualSpacing/>
              <w:jc w:val="left"/>
            </w:pPr>
          </w:p>
        </w:tc>
      </w:tr>
      <w:tr w:rsidR="009600CF" w14:paraId="7ED23F55" w14:textId="77777777" w:rsidTr="00681ABF">
        <w:trPr>
          <w:gridAfter w:val="1"/>
          <w:wAfter w:w="147" w:type="dxa"/>
          <w:trHeight w:val="1327"/>
        </w:trPr>
        <w:tc>
          <w:tcPr>
            <w:tcW w:w="2548" w:type="dxa"/>
            <w:gridSpan w:val="4"/>
            <w:shd w:val="clear" w:color="auto" w:fill="FFFFFF" w:themeFill="background1"/>
          </w:tcPr>
          <w:p w14:paraId="2C1507C0" w14:textId="77777777" w:rsidR="009600CF" w:rsidRPr="001A487C" w:rsidRDefault="009600CF" w:rsidP="00F167F7">
            <w:pPr>
              <w:pStyle w:val="BodyText"/>
              <w:jc w:val="left"/>
              <w:rPr>
                <w:rFonts w:eastAsia="Calibri" w:cs="Arial"/>
                <w:bCs/>
                <w:iCs/>
                <w:noProof/>
                <w:szCs w:val="22"/>
              </w:rPr>
            </w:pPr>
            <w:r w:rsidRPr="003A1C01">
              <w:rPr>
                <w:rFonts w:ascii="Calibri" w:hAnsi="Calibri"/>
                <w:noProof/>
                <w:lang w:val="en-GB" w:eastAsia="en-GB"/>
              </w:rPr>
              <w:drawing>
                <wp:anchor distT="0" distB="0" distL="114300" distR="114300" simplePos="0" relativeHeight="251669504" behindDoc="0" locked="1" layoutInCell="1" allowOverlap="1" wp14:anchorId="449A25D9" wp14:editId="68AABDC3">
                  <wp:simplePos x="0" y="0"/>
                  <wp:positionH relativeFrom="column">
                    <wp:posOffset>-31</wp:posOffset>
                  </wp:positionH>
                  <wp:positionV relativeFrom="paragraph">
                    <wp:posOffset>1688</wp:posOffset>
                  </wp:positionV>
                  <wp:extent cx="1440000" cy="475200"/>
                  <wp:effectExtent l="0" t="0" r="8255" b="1270"/>
                  <wp:wrapSquare wrapText="bothSides"/>
                  <wp:docPr id="233" name="Graphic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440000" cy="475200"/>
                          </a:xfrm>
                          <a:prstGeom prst="rect">
                            <a:avLst/>
                          </a:prstGeom>
                        </pic:spPr>
                      </pic:pic>
                    </a:graphicData>
                  </a:graphic>
                  <wp14:sizeRelH relativeFrom="margin">
                    <wp14:pctWidth>0</wp14:pctWidth>
                  </wp14:sizeRelH>
                  <wp14:sizeRelV relativeFrom="margin">
                    <wp14:pctHeight>0</wp14:pctHeight>
                  </wp14:sizeRelV>
                </wp:anchor>
              </w:drawing>
            </w:r>
          </w:p>
        </w:tc>
        <w:tc>
          <w:tcPr>
            <w:tcW w:w="8079" w:type="dxa"/>
            <w:gridSpan w:val="8"/>
            <w:shd w:val="clear" w:color="auto" w:fill="FFFFFF" w:themeFill="background1"/>
          </w:tcPr>
          <w:p w14:paraId="3DD711CA" w14:textId="77777777" w:rsidR="009600CF" w:rsidRPr="008F49A7" w:rsidRDefault="009600CF" w:rsidP="00F167F7">
            <w:pPr>
              <w:pStyle w:val="BodyText"/>
              <w:spacing w:before="120" w:after="120"/>
              <w:rPr>
                <w:rFonts w:cs="Arial"/>
              </w:rPr>
            </w:pPr>
            <w:r w:rsidRPr="008F49A7">
              <w:rPr>
                <w:rFonts w:cs="Arial"/>
                <w:b/>
                <w:i/>
              </w:rPr>
              <w:t>What is the asset allocation planned for this financial product?</w:t>
            </w:r>
            <w:r w:rsidRPr="008F49A7">
              <w:rPr>
                <w:rFonts w:cs="Arial"/>
              </w:rPr>
              <w:t xml:space="preserve"> </w:t>
            </w:r>
          </w:p>
        </w:tc>
      </w:tr>
      <w:tr w:rsidR="009600CF" w14:paraId="1F2CE75B" w14:textId="77777777" w:rsidTr="00681ABF">
        <w:trPr>
          <w:gridAfter w:val="1"/>
          <w:wAfter w:w="147" w:type="dxa"/>
          <w:trHeight w:val="454"/>
        </w:trPr>
        <w:tc>
          <w:tcPr>
            <w:tcW w:w="2119" w:type="dxa"/>
            <w:gridSpan w:val="2"/>
            <w:shd w:val="clear" w:color="auto" w:fill="FFFFFF" w:themeFill="background1"/>
          </w:tcPr>
          <w:p w14:paraId="62D48E9F" w14:textId="77777777" w:rsidR="009600CF" w:rsidRDefault="009600CF" w:rsidP="00F167F7">
            <w:pPr>
              <w:pStyle w:val="BodyText"/>
              <w:shd w:val="clear" w:color="auto" w:fill="F2F2F2" w:themeFill="background1" w:themeFillShade="F2"/>
              <w:jc w:val="left"/>
              <w:rPr>
                <w:rFonts w:asciiTheme="minorHAnsi" w:eastAsia="MS Gothic" w:hAnsiTheme="minorHAnsi" w:cstheme="minorHAnsi"/>
                <w:sz w:val="18"/>
                <w:szCs w:val="18"/>
              </w:rPr>
            </w:pPr>
            <w:r w:rsidRPr="00F51CA9">
              <w:rPr>
                <w:rFonts w:asciiTheme="minorHAnsi" w:eastAsia="MS Gothic" w:hAnsiTheme="minorHAnsi" w:cstheme="minorHAnsi"/>
                <w:b/>
                <w:sz w:val="18"/>
                <w:szCs w:val="18"/>
              </w:rPr>
              <w:t>Asset allocation</w:t>
            </w:r>
            <w:r w:rsidRPr="00F51CA9">
              <w:rPr>
                <w:rFonts w:asciiTheme="minorHAnsi" w:eastAsia="MS Gothic" w:hAnsiTheme="minorHAnsi" w:cstheme="minorHAnsi"/>
                <w:sz w:val="18"/>
                <w:szCs w:val="18"/>
              </w:rPr>
              <w:t xml:space="preserve"> describes the </w:t>
            </w:r>
            <w:r>
              <w:rPr>
                <w:rFonts w:asciiTheme="minorHAnsi" w:eastAsia="MS Gothic" w:hAnsiTheme="minorHAnsi" w:cstheme="minorHAnsi"/>
                <w:sz w:val="18"/>
                <w:szCs w:val="18"/>
              </w:rPr>
              <w:br/>
            </w:r>
            <w:r w:rsidRPr="00F51CA9">
              <w:rPr>
                <w:rFonts w:asciiTheme="minorHAnsi" w:eastAsia="MS Gothic" w:hAnsiTheme="minorHAnsi" w:cstheme="minorHAnsi"/>
                <w:sz w:val="18"/>
                <w:szCs w:val="18"/>
              </w:rPr>
              <w:t xml:space="preserve">share of </w:t>
            </w:r>
            <w:r>
              <w:rPr>
                <w:rFonts w:asciiTheme="minorHAnsi" w:eastAsia="MS Gothic" w:hAnsiTheme="minorHAnsi" w:cstheme="minorHAnsi"/>
                <w:sz w:val="18"/>
                <w:szCs w:val="18"/>
              </w:rPr>
              <w:br/>
            </w:r>
            <w:r w:rsidRPr="00F51CA9">
              <w:rPr>
                <w:rFonts w:asciiTheme="minorHAnsi" w:eastAsia="MS Gothic" w:hAnsiTheme="minorHAnsi" w:cstheme="minorHAnsi"/>
                <w:sz w:val="18"/>
                <w:szCs w:val="18"/>
              </w:rPr>
              <w:t xml:space="preserve">investments in </w:t>
            </w:r>
            <w:r>
              <w:rPr>
                <w:rFonts w:asciiTheme="minorHAnsi" w:eastAsia="MS Gothic" w:hAnsiTheme="minorHAnsi" w:cstheme="minorHAnsi"/>
                <w:sz w:val="18"/>
                <w:szCs w:val="18"/>
              </w:rPr>
              <w:br/>
            </w:r>
            <w:r w:rsidRPr="00F51CA9">
              <w:rPr>
                <w:rFonts w:asciiTheme="minorHAnsi" w:eastAsia="MS Gothic" w:hAnsiTheme="minorHAnsi" w:cstheme="minorHAnsi"/>
                <w:sz w:val="18"/>
                <w:szCs w:val="18"/>
              </w:rPr>
              <w:t>specific assets.</w:t>
            </w:r>
          </w:p>
          <w:p w14:paraId="0F705596" w14:textId="77777777" w:rsidR="009600CF" w:rsidRPr="00F51CA9" w:rsidRDefault="009600CF" w:rsidP="00F167F7">
            <w:pPr>
              <w:pStyle w:val="BodyText"/>
              <w:shd w:val="clear" w:color="auto" w:fill="F2F2F2" w:themeFill="background1" w:themeFillShade="F2"/>
              <w:jc w:val="left"/>
              <w:rPr>
                <w:rFonts w:asciiTheme="minorHAnsi" w:eastAsia="MS Gothic" w:hAnsiTheme="minorHAnsi" w:cstheme="minorHAnsi"/>
                <w:b/>
                <w:sz w:val="18"/>
                <w:szCs w:val="18"/>
              </w:rPr>
            </w:pPr>
          </w:p>
        </w:tc>
        <w:tc>
          <w:tcPr>
            <w:tcW w:w="429" w:type="dxa"/>
            <w:gridSpan w:val="2"/>
            <w:shd w:val="clear" w:color="auto" w:fill="FFFFFF" w:themeFill="background1"/>
          </w:tcPr>
          <w:p w14:paraId="63901D94" w14:textId="77777777" w:rsidR="009600CF" w:rsidRPr="00F51CA9" w:rsidRDefault="009600CF" w:rsidP="00F167F7">
            <w:pPr>
              <w:pStyle w:val="BodyText"/>
              <w:jc w:val="left"/>
              <w:rPr>
                <w:rFonts w:asciiTheme="minorHAnsi" w:eastAsia="MS Gothic" w:hAnsiTheme="minorHAnsi" w:cstheme="minorHAnsi"/>
                <w:b/>
                <w:sz w:val="18"/>
                <w:szCs w:val="18"/>
              </w:rPr>
            </w:pPr>
          </w:p>
        </w:tc>
        <w:tc>
          <w:tcPr>
            <w:tcW w:w="8079" w:type="dxa"/>
            <w:gridSpan w:val="8"/>
            <w:shd w:val="clear" w:color="auto" w:fill="FFFFFF" w:themeFill="background1"/>
          </w:tcPr>
          <w:p w14:paraId="2ACB988C" w14:textId="01C3C5C1" w:rsidR="009600CF" w:rsidRPr="008F49A7" w:rsidRDefault="009600CF" w:rsidP="00F167F7">
            <w:pPr>
              <w:pStyle w:val="ssPara"/>
              <w:numPr>
                <w:ilvl w:val="0"/>
                <w:numId w:val="0"/>
              </w:numPr>
              <w:rPr>
                <w:rFonts w:cs="Arial"/>
              </w:rPr>
            </w:pPr>
            <w:r w:rsidRPr="008F49A7">
              <w:rPr>
                <w:rFonts w:cs="Arial"/>
                <w:b/>
                <w:bCs/>
              </w:rPr>
              <w:t>#1 Aligned with E/S characteristics</w:t>
            </w:r>
            <w:r w:rsidRPr="008F49A7">
              <w:rPr>
                <w:rFonts w:cs="Arial"/>
              </w:rPr>
              <w:t xml:space="preserve">: The Investment Manager </w:t>
            </w:r>
            <w:r w:rsidRPr="008F49A7">
              <w:rPr>
                <w:rFonts w:eastAsia="MingLiU" w:cs="Arial"/>
                <w:bCs/>
                <w:lang w:eastAsia="en-GB"/>
              </w:rPr>
              <w:t>intends to invest a minimum of</w:t>
            </w:r>
            <w:r w:rsidRPr="008F49A7">
              <w:rPr>
                <w:rFonts w:eastAsia="MingLiU" w:cs="Arial"/>
                <w:b/>
                <w:bCs/>
                <w:lang w:eastAsia="en-GB"/>
              </w:rPr>
              <w:t xml:space="preserve"> </w:t>
            </w:r>
            <w:r w:rsidR="00E01AE9">
              <w:rPr>
                <w:rFonts w:eastAsia="MingLiU" w:cs="Arial"/>
                <w:b/>
                <w:bCs/>
                <w:lang w:eastAsia="en-GB"/>
              </w:rPr>
              <w:t>[</w:t>
            </w:r>
            <w:r w:rsidRPr="008F49A7">
              <w:rPr>
                <w:rFonts w:eastAsia="MingLiU" w:cs="Arial"/>
                <w:b/>
                <w:bCs/>
                <w:lang w:eastAsia="en-GB"/>
              </w:rPr>
              <w:t>9</w:t>
            </w:r>
            <w:r w:rsidR="00346B4E">
              <w:rPr>
                <w:rFonts w:eastAsia="MingLiU" w:cs="Arial"/>
                <w:b/>
                <w:bCs/>
                <w:lang w:eastAsia="en-GB"/>
              </w:rPr>
              <w:t>5</w:t>
            </w:r>
            <w:r w:rsidRPr="008F49A7">
              <w:rPr>
                <w:rFonts w:eastAsia="MingLiU" w:cs="Arial"/>
                <w:b/>
                <w:bCs/>
                <w:lang w:eastAsia="en-GB"/>
              </w:rPr>
              <w:t>%</w:t>
            </w:r>
            <w:r w:rsidR="00E01AE9">
              <w:rPr>
                <w:rFonts w:eastAsia="MingLiU" w:cs="Arial"/>
                <w:b/>
                <w:bCs/>
                <w:lang w:eastAsia="en-GB"/>
              </w:rPr>
              <w:t>]</w:t>
            </w:r>
            <w:r w:rsidRPr="008F49A7">
              <w:rPr>
                <w:rFonts w:eastAsia="MingLiU" w:cs="Arial"/>
                <w:bCs/>
                <w:lang w:eastAsia="en-GB"/>
              </w:rPr>
              <w:t xml:space="preserve"> of the Fund's</w:t>
            </w:r>
            <w:r w:rsidRPr="008F49A7">
              <w:rPr>
                <w:rFonts w:cs="Arial"/>
              </w:rPr>
              <w:t xml:space="preserve"> </w:t>
            </w:r>
            <w:r w:rsidRPr="008F49A7">
              <w:rPr>
                <w:rFonts w:eastAsia="MingLiU" w:cs="Arial"/>
                <w:bCs/>
                <w:lang w:eastAsia="en-GB"/>
              </w:rPr>
              <w:t>NAV in investments which attain the environmental characteristics promoted by the</w:t>
            </w:r>
            <w:r w:rsidRPr="008F49A7">
              <w:rPr>
                <w:rFonts w:cs="Arial"/>
              </w:rPr>
              <w:t xml:space="preserve"> Fund.</w:t>
            </w:r>
          </w:p>
          <w:p w14:paraId="5FA80E45" w14:textId="4E8632C3" w:rsidR="009600CF" w:rsidRPr="008F49A7" w:rsidRDefault="009600CF" w:rsidP="00F167F7">
            <w:pPr>
              <w:pStyle w:val="ssPara"/>
              <w:numPr>
                <w:ilvl w:val="0"/>
                <w:numId w:val="0"/>
              </w:numPr>
              <w:rPr>
                <w:rFonts w:cs="Arial"/>
                <w:b/>
                <w:bCs/>
                <w:color w:val="000000"/>
              </w:rPr>
            </w:pPr>
            <w:r w:rsidRPr="008F49A7">
              <w:rPr>
                <w:rFonts w:cs="Arial"/>
                <w:b/>
                <w:bCs/>
              </w:rPr>
              <w:t>#1A Sustainable</w:t>
            </w:r>
            <w:r w:rsidRPr="008F49A7">
              <w:rPr>
                <w:rFonts w:cs="Arial"/>
              </w:rPr>
              <w:t xml:space="preserve">: The Investment Manager does commit to invest a minimum percentage </w:t>
            </w:r>
            <w:r w:rsidRPr="008F49A7">
              <w:rPr>
                <w:rFonts w:eastAsia="MingLiU" w:cs="Arial"/>
                <w:bCs/>
                <w:lang w:eastAsia="en-GB"/>
              </w:rPr>
              <w:t xml:space="preserve">of </w:t>
            </w:r>
            <w:r w:rsidR="00E01AE9">
              <w:rPr>
                <w:rFonts w:eastAsia="MingLiU" w:cs="Arial"/>
                <w:bCs/>
                <w:lang w:eastAsia="en-GB"/>
              </w:rPr>
              <w:t xml:space="preserve">[0%] of </w:t>
            </w:r>
            <w:r w:rsidRPr="008F49A7">
              <w:rPr>
                <w:rFonts w:eastAsia="MingLiU" w:cs="Arial"/>
                <w:bCs/>
                <w:lang w:eastAsia="en-GB"/>
              </w:rPr>
              <w:t>the Fund's</w:t>
            </w:r>
            <w:r w:rsidRPr="008F49A7">
              <w:rPr>
                <w:rFonts w:cs="Arial"/>
              </w:rPr>
              <w:t xml:space="preserve"> </w:t>
            </w:r>
            <w:r w:rsidRPr="008F49A7">
              <w:rPr>
                <w:rFonts w:eastAsia="MingLiU" w:cs="Arial"/>
                <w:bCs/>
                <w:lang w:eastAsia="en-GB"/>
              </w:rPr>
              <w:t>NAV in</w:t>
            </w:r>
            <w:r w:rsidRPr="008F49A7">
              <w:rPr>
                <w:rFonts w:cs="Arial"/>
              </w:rPr>
              <w:t xml:space="preserve"> sustainable investments. </w:t>
            </w:r>
          </w:p>
          <w:p w14:paraId="4D385DFC" w14:textId="0D563EC8" w:rsidR="009600CF" w:rsidRPr="008F49A7" w:rsidRDefault="009600CF" w:rsidP="00F167F7">
            <w:pPr>
              <w:pStyle w:val="ssPara"/>
              <w:numPr>
                <w:ilvl w:val="0"/>
                <w:numId w:val="0"/>
              </w:numPr>
              <w:rPr>
                <w:rFonts w:cs="Arial"/>
              </w:rPr>
            </w:pPr>
            <w:bookmarkStart w:id="48" w:name="_Hlk116638713"/>
            <w:r w:rsidRPr="008F49A7">
              <w:rPr>
                <w:rFonts w:cs="Arial"/>
                <w:b/>
                <w:bCs/>
              </w:rPr>
              <w:t>#2 Other</w:t>
            </w:r>
            <w:r w:rsidRPr="008F49A7">
              <w:rPr>
                <w:rFonts w:cs="Arial"/>
              </w:rPr>
              <w:t xml:space="preserve">: The remaining </w:t>
            </w:r>
            <w:r w:rsidR="003E2261">
              <w:rPr>
                <w:rFonts w:cs="Arial"/>
                <w:b/>
                <w:bCs/>
              </w:rPr>
              <w:t>5</w:t>
            </w:r>
            <w:r w:rsidRPr="008F49A7">
              <w:rPr>
                <w:rFonts w:cs="Arial"/>
                <w:b/>
                <w:bCs/>
              </w:rPr>
              <w:t>%</w:t>
            </w:r>
            <w:r w:rsidRPr="008F49A7">
              <w:rPr>
                <w:rFonts w:cs="Arial"/>
              </w:rPr>
              <w:t xml:space="preserve"> of the Fund’s NAV will be in investments which seek to achieve the broader objectives of the Fund, including those which may not match the Portfolio’s ESG criteria in its entirety. </w:t>
            </w:r>
          </w:p>
          <w:bookmarkEnd w:id="48"/>
          <w:p w14:paraId="4D638997" w14:textId="25AE74F1" w:rsidR="00456C98" w:rsidRDefault="009600CF" w:rsidP="00F167F7">
            <w:pPr>
              <w:pStyle w:val="BodyText"/>
              <w:rPr>
                <w:rFonts w:cs="Arial"/>
                <w:szCs w:val="20"/>
              </w:rPr>
            </w:pPr>
            <w:r w:rsidRPr="008F49A7">
              <w:rPr>
                <w:rFonts w:cs="Arial"/>
                <w:iCs/>
              </w:rPr>
              <w:t xml:space="preserve">Investors should </w:t>
            </w:r>
            <w:r w:rsidR="006D46C6" w:rsidRPr="008F49A7">
              <w:rPr>
                <w:rFonts w:cs="Arial"/>
                <w:iCs/>
              </w:rPr>
              <w:t>note</w:t>
            </w:r>
            <w:r w:rsidRPr="008F49A7">
              <w:rPr>
                <w:rFonts w:cs="Arial"/>
                <w:iCs/>
              </w:rPr>
              <w:t xml:space="preserve"> there may be times when the Portfolio is not in a position to maintain a minimum commitment due to extenuating circumstances or reasons beyond the control of the Investment Manager. In such circumstances, the Investment Manager will take all </w:t>
            </w:r>
            <w:r w:rsidRPr="008F49A7">
              <w:rPr>
                <w:rFonts w:cs="Arial"/>
                <w:iCs/>
              </w:rPr>
              <w:lastRenderedPageBreak/>
              <w:t xml:space="preserve">reasonable steps as soon as reasonably possible to rectify any deviation taking into account the best interests of </w:t>
            </w:r>
            <w:r w:rsidR="006D46C6" w:rsidRPr="008F49A7">
              <w:rPr>
                <w:rFonts w:cs="Arial"/>
                <w:iCs/>
              </w:rPr>
              <w:t>Shareholders.</w:t>
            </w:r>
            <w:r w:rsidR="00C03F95">
              <w:rPr>
                <w:rFonts w:cs="Arial"/>
                <w:iCs/>
                <w:szCs w:val="20"/>
              </w:rPr>
              <w:t xml:space="preserve"> </w:t>
            </w:r>
            <w:r w:rsidR="008F49A7" w:rsidRPr="00EC2858">
              <w:rPr>
                <w:rFonts w:cs="Arial"/>
                <w:szCs w:val="20"/>
              </w:rPr>
              <w:t xml:space="preserve"> </w:t>
            </w:r>
          </w:p>
          <w:p w14:paraId="067A5C20" w14:textId="4C601191" w:rsidR="008F49A7" w:rsidRPr="008F49A7" w:rsidRDefault="008F49A7" w:rsidP="00F167F7">
            <w:pPr>
              <w:pStyle w:val="BodyText"/>
              <w:rPr>
                <w:rFonts w:cs="Arial"/>
                <w:sz w:val="18"/>
                <w:szCs w:val="18"/>
              </w:rPr>
            </w:pPr>
            <w:r w:rsidRPr="00EC2858">
              <w:rPr>
                <w:rFonts w:cs="Arial"/>
                <w:szCs w:val="20"/>
              </w:rPr>
              <w:t>For the avoidance of doubt, any derivatives used by the Fund (regardless of purpose) will not be taken into consideration in this calculation. As a result, the calculation is therefore intended to represent the physical investments and holdings of the Fund.</w:t>
            </w:r>
          </w:p>
        </w:tc>
      </w:tr>
      <w:tr w:rsidR="009600CF" w14:paraId="17B42EBB" w14:textId="77777777" w:rsidTr="00EC4048">
        <w:trPr>
          <w:gridAfter w:val="1"/>
          <w:wAfter w:w="147" w:type="dxa"/>
          <w:trHeight w:val="454"/>
        </w:trPr>
        <w:tc>
          <w:tcPr>
            <w:tcW w:w="2119" w:type="dxa"/>
            <w:gridSpan w:val="2"/>
            <w:vMerge w:val="restart"/>
            <w:shd w:val="clear" w:color="auto" w:fill="FFFFFF" w:themeFill="background1"/>
          </w:tcPr>
          <w:p w14:paraId="51EE5465" w14:textId="77777777" w:rsidR="009600CF" w:rsidRPr="003A1C01" w:rsidRDefault="009600CF" w:rsidP="00EC4048">
            <w:pPr>
              <w:pStyle w:val="Bullet2"/>
              <w:numPr>
                <w:ilvl w:val="0"/>
                <w:numId w:val="0"/>
              </w:numPr>
              <w:spacing w:before="120" w:after="60"/>
              <w:ind w:left="284"/>
              <w:jc w:val="left"/>
              <w:rPr>
                <w:rFonts w:ascii="Calibri" w:hAnsi="Calibri"/>
                <w:noProof/>
                <w:szCs w:val="24"/>
              </w:rPr>
            </w:pPr>
          </w:p>
        </w:tc>
        <w:tc>
          <w:tcPr>
            <w:tcW w:w="429" w:type="dxa"/>
            <w:gridSpan w:val="2"/>
            <w:shd w:val="clear" w:color="auto" w:fill="FFFFFF" w:themeFill="background1"/>
          </w:tcPr>
          <w:p w14:paraId="3F28919D" w14:textId="77777777" w:rsidR="009600CF" w:rsidRPr="00147736" w:rsidRDefault="009600CF" w:rsidP="00F167F7">
            <w:pPr>
              <w:pStyle w:val="BodyText"/>
            </w:pPr>
          </w:p>
        </w:tc>
        <w:tc>
          <w:tcPr>
            <w:tcW w:w="8079" w:type="dxa"/>
            <w:gridSpan w:val="8"/>
            <w:shd w:val="clear" w:color="auto" w:fill="FFFFFF" w:themeFill="background1"/>
          </w:tcPr>
          <w:p w14:paraId="12671598" w14:textId="77777777" w:rsidR="009600CF" w:rsidRPr="00C50D90" w:rsidRDefault="009600CF" w:rsidP="00F167F7">
            <w:pPr>
              <w:spacing w:after="160" w:line="259" w:lineRule="auto"/>
              <w:jc w:val="left"/>
            </w:pPr>
          </w:p>
        </w:tc>
      </w:tr>
      <w:tr w:rsidR="009600CF" w14:paraId="045C18B1" w14:textId="77777777" w:rsidTr="00EC4048">
        <w:trPr>
          <w:gridAfter w:val="1"/>
          <w:wAfter w:w="147" w:type="dxa"/>
          <w:trHeight w:val="113"/>
        </w:trPr>
        <w:tc>
          <w:tcPr>
            <w:tcW w:w="2119" w:type="dxa"/>
            <w:gridSpan w:val="2"/>
            <w:vMerge/>
            <w:shd w:val="clear" w:color="auto" w:fill="FFFFFF" w:themeFill="background1"/>
          </w:tcPr>
          <w:p w14:paraId="76716C7C" w14:textId="77777777" w:rsidR="009600CF" w:rsidRPr="003A1C01" w:rsidRDefault="009600CF" w:rsidP="00A42DEF">
            <w:pPr>
              <w:pStyle w:val="Bullet2"/>
              <w:numPr>
                <w:ilvl w:val="1"/>
                <w:numId w:val="26"/>
              </w:numPr>
              <w:spacing w:before="120" w:after="60"/>
              <w:jc w:val="left"/>
              <w:rPr>
                <w:rFonts w:ascii="Calibri" w:hAnsi="Calibri"/>
                <w:noProof/>
                <w:szCs w:val="24"/>
              </w:rPr>
            </w:pPr>
          </w:p>
        </w:tc>
        <w:tc>
          <w:tcPr>
            <w:tcW w:w="429" w:type="dxa"/>
            <w:gridSpan w:val="2"/>
            <w:shd w:val="clear" w:color="auto" w:fill="FFFFFF" w:themeFill="background1"/>
          </w:tcPr>
          <w:p w14:paraId="785BC5DB" w14:textId="77777777" w:rsidR="009600CF" w:rsidRPr="00147736" w:rsidRDefault="009600CF" w:rsidP="00F167F7">
            <w:pPr>
              <w:pStyle w:val="BodyText"/>
            </w:pPr>
          </w:p>
        </w:tc>
        <w:tc>
          <w:tcPr>
            <w:tcW w:w="8079" w:type="dxa"/>
            <w:gridSpan w:val="8"/>
            <w:shd w:val="clear" w:color="auto" w:fill="FFF0E1"/>
          </w:tcPr>
          <w:p w14:paraId="73C269A7" w14:textId="77777777" w:rsidR="009600CF" w:rsidRPr="00C50D90" w:rsidRDefault="009600CF" w:rsidP="00F167F7">
            <w:pPr>
              <w:pStyle w:val="BodyText"/>
              <w:spacing w:before="120" w:after="120"/>
              <w:rPr>
                <w:sz w:val="18"/>
                <w:szCs w:val="18"/>
              </w:rPr>
            </w:pPr>
          </w:p>
        </w:tc>
      </w:tr>
      <w:tr w:rsidR="009600CF" w14:paraId="7B0FCA7E" w14:textId="77777777" w:rsidTr="00EC4048">
        <w:trPr>
          <w:gridAfter w:val="1"/>
          <w:wAfter w:w="147" w:type="dxa"/>
          <w:trHeight w:val="2220"/>
        </w:trPr>
        <w:tc>
          <w:tcPr>
            <w:tcW w:w="2119" w:type="dxa"/>
            <w:gridSpan w:val="2"/>
            <w:vMerge/>
            <w:shd w:val="clear" w:color="auto" w:fill="FFFFFF" w:themeFill="background1"/>
          </w:tcPr>
          <w:p w14:paraId="5C2BFCDD" w14:textId="77777777" w:rsidR="009600CF" w:rsidRPr="003A1C01" w:rsidRDefault="009600CF" w:rsidP="00A42DEF">
            <w:pPr>
              <w:pStyle w:val="Bullet2"/>
              <w:numPr>
                <w:ilvl w:val="1"/>
                <w:numId w:val="26"/>
              </w:numPr>
              <w:spacing w:before="120" w:after="60"/>
              <w:jc w:val="left"/>
              <w:rPr>
                <w:rFonts w:ascii="Calibri" w:hAnsi="Calibri"/>
                <w:noProof/>
                <w:szCs w:val="24"/>
              </w:rPr>
            </w:pPr>
          </w:p>
        </w:tc>
        <w:tc>
          <w:tcPr>
            <w:tcW w:w="429" w:type="dxa"/>
            <w:gridSpan w:val="2"/>
            <w:shd w:val="clear" w:color="auto" w:fill="FFFFFF" w:themeFill="background1"/>
          </w:tcPr>
          <w:p w14:paraId="1E909DD4" w14:textId="77777777" w:rsidR="009600CF" w:rsidRPr="00147736" w:rsidRDefault="009600CF" w:rsidP="00F167F7">
            <w:pPr>
              <w:pStyle w:val="BodyText"/>
            </w:pPr>
          </w:p>
        </w:tc>
        <w:tc>
          <w:tcPr>
            <w:tcW w:w="8079" w:type="dxa"/>
            <w:gridSpan w:val="8"/>
            <w:shd w:val="clear" w:color="auto" w:fill="FEF0E2"/>
          </w:tcPr>
          <w:p w14:paraId="17E86629" w14:textId="77777777" w:rsidR="009600CF" w:rsidRPr="00C50D90" w:rsidRDefault="009600CF" w:rsidP="00F167F7">
            <w:pPr>
              <w:pStyle w:val="BodyText"/>
              <w:jc w:val="center"/>
              <w:rPr>
                <w:sz w:val="18"/>
                <w:szCs w:val="18"/>
              </w:rPr>
            </w:pPr>
            <w:r w:rsidRPr="00C50D90">
              <w:rPr>
                <w:noProof/>
                <w:sz w:val="18"/>
                <w:szCs w:val="18"/>
                <w:lang w:val="en-GB" w:eastAsia="en-GB"/>
              </w:rPr>
              <w:drawing>
                <wp:inline distT="0" distB="0" distL="0" distR="0" wp14:anchorId="793ECA10" wp14:editId="17F10384">
                  <wp:extent cx="4995545" cy="2148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95545" cy="2148205"/>
                          </a:xfrm>
                          <a:prstGeom prst="rect">
                            <a:avLst/>
                          </a:prstGeom>
                        </pic:spPr>
                      </pic:pic>
                    </a:graphicData>
                  </a:graphic>
                </wp:inline>
              </w:drawing>
            </w:r>
          </w:p>
          <w:p w14:paraId="2D0384F1" w14:textId="1E73EDD2" w:rsidR="000F3FF6" w:rsidRPr="00C50D90" w:rsidRDefault="000F3FF6" w:rsidP="00EC2858">
            <w:pPr>
              <w:pStyle w:val="BodyText"/>
              <w:rPr>
                <w:sz w:val="18"/>
                <w:szCs w:val="18"/>
              </w:rPr>
            </w:pPr>
          </w:p>
        </w:tc>
      </w:tr>
      <w:tr w:rsidR="009600CF" w14:paraId="6734DD38" w14:textId="77777777" w:rsidTr="00EC4048">
        <w:trPr>
          <w:gridAfter w:val="1"/>
          <w:wAfter w:w="147" w:type="dxa"/>
        </w:trPr>
        <w:tc>
          <w:tcPr>
            <w:tcW w:w="2119" w:type="dxa"/>
            <w:gridSpan w:val="2"/>
            <w:vMerge/>
            <w:shd w:val="clear" w:color="auto" w:fill="FFFFFF" w:themeFill="background1"/>
          </w:tcPr>
          <w:p w14:paraId="27D845C7" w14:textId="77777777" w:rsidR="009600CF" w:rsidRPr="00597A8D" w:rsidRDefault="009600CF" w:rsidP="00F167F7">
            <w:pPr>
              <w:pStyle w:val="BodyText"/>
              <w:spacing w:before="120" w:after="120"/>
              <w:jc w:val="left"/>
              <w:rPr>
                <w:rFonts w:asciiTheme="minorHAnsi" w:eastAsia="MS Gothic" w:hAnsiTheme="minorHAnsi" w:cstheme="minorHAnsi"/>
                <w:b/>
              </w:rPr>
            </w:pPr>
          </w:p>
        </w:tc>
        <w:tc>
          <w:tcPr>
            <w:tcW w:w="429" w:type="dxa"/>
            <w:gridSpan w:val="2"/>
            <w:shd w:val="clear" w:color="auto" w:fill="FFFFFF" w:themeFill="background1"/>
          </w:tcPr>
          <w:p w14:paraId="2EF99C77" w14:textId="77777777" w:rsidR="009600CF" w:rsidRPr="000A4BFA" w:rsidRDefault="009600CF" w:rsidP="00F167F7">
            <w:pPr>
              <w:pStyle w:val="BodyText"/>
              <w:spacing w:after="60"/>
              <w:jc w:val="left"/>
              <w:rPr>
                <w:rFonts w:cs="Arial"/>
                <w:i/>
                <w:color w:val="FF0000"/>
                <w:sz w:val="10"/>
                <w:szCs w:val="10"/>
              </w:rPr>
            </w:pPr>
          </w:p>
        </w:tc>
        <w:tc>
          <w:tcPr>
            <w:tcW w:w="8079" w:type="dxa"/>
            <w:gridSpan w:val="8"/>
            <w:shd w:val="clear" w:color="auto" w:fill="FEF0E2"/>
          </w:tcPr>
          <w:p w14:paraId="22671246" w14:textId="0775BF89" w:rsidR="009600CF" w:rsidRPr="00EC2858" w:rsidRDefault="009600CF" w:rsidP="00F167F7">
            <w:pPr>
              <w:pStyle w:val="BodyText"/>
              <w:tabs>
                <w:tab w:val="left" w:pos="320"/>
              </w:tabs>
              <w:ind w:left="310" w:hanging="244"/>
              <w:jc w:val="left"/>
              <w:rPr>
                <w:rFonts w:cs="Arial"/>
                <w:i/>
                <w:color w:val="FF0000"/>
                <w:highlight w:val="yellow"/>
              </w:rPr>
            </w:pPr>
          </w:p>
        </w:tc>
      </w:tr>
      <w:tr w:rsidR="009600CF" w14:paraId="09597AD4" w14:textId="77777777" w:rsidTr="00EC4048">
        <w:trPr>
          <w:trHeight w:val="541"/>
        </w:trPr>
        <w:tc>
          <w:tcPr>
            <w:tcW w:w="1984" w:type="dxa"/>
            <w:shd w:val="clear" w:color="auto" w:fill="FFFFFF" w:themeFill="background1"/>
          </w:tcPr>
          <w:p w14:paraId="114A06F5" w14:textId="77777777" w:rsidR="009600CF" w:rsidRPr="00886A22" w:rsidRDefault="009600CF" w:rsidP="00F167F7">
            <w:pPr>
              <w:pStyle w:val="BodyText"/>
              <w:jc w:val="left"/>
              <w:rPr>
                <w:rFonts w:eastAsia="MS Gothic"/>
                <w:i/>
                <w:color w:val="FF0000"/>
                <w:sz w:val="18"/>
              </w:rPr>
            </w:pPr>
          </w:p>
        </w:tc>
        <w:tc>
          <w:tcPr>
            <w:tcW w:w="732" w:type="dxa"/>
            <w:gridSpan w:val="4"/>
            <w:shd w:val="clear" w:color="auto" w:fill="FFFFFF" w:themeFill="background1"/>
          </w:tcPr>
          <w:p w14:paraId="5FF99F12" w14:textId="77777777" w:rsidR="009600CF" w:rsidRPr="001A487C" w:rsidRDefault="009600CF" w:rsidP="00F167F7">
            <w:pPr>
              <w:pStyle w:val="BodyText"/>
              <w:jc w:val="left"/>
              <w:rPr>
                <w:rFonts w:cs="Arial"/>
              </w:rPr>
            </w:pPr>
          </w:p>
        </w:tc>
        <w:tc>
          <w:tcPr>
            <w:tcW w:w="8058" w:type="dxa"/>
            <w:gridSpan w:val="8"/>
            <w:shd w:val="clear" w:color="auto" w:fill="FFFFFF" w:themeFill="background1"/>
          </w:tcPr>
          <w:p w14:paraId="06586CFB" w14:textId="77777777" w:rsidR="009600CF" w:rsidRPr="001A487C" w:rsidRDefault="009600CF" w:rsidP="00F167F7">
            <w:pPr>
              <w:pStyle w:val="BodyText"/>
              <w:jc w:val="left"/>
              <w:rPr>
                <w:rFonts w:cs="Arial"/>
              </w:rPr>
            </w:pPr>
            <w:r w:rsidRPr="007A1B42">
              <w:rPr>
                <w:b/>
                <w:i/>
                <w:sz w:val="18"/>
                <w:szCs w:val="18"/>
              </w:rPr>
              <w:t>How does the use of derivatives attain the environmental or social characteristics promoted by the financial product</w:t>
            </w:r>
            <w:r w:rsidRPr="00D408E8">
              <w:rPr>
                <w:b/>
                <w:i/>
              </w:rPr>
              <w:t>?</w:t>
            </w:r>
            <w:r w:rsidRPr="00F30D33">
              <w:t xml:space="preserve"> </w:t>
            </w:r>
          </w:p>
        </w:tc>
      </w:tr>
      <w:tr w:rsidR="009600CF" w14:paraId="621FE9D9" w14:textId="77777777" w:rsidTr="00EC4048">
        <w:tc>
          <w:tcPr>
            <w:tcW w:w="1984" w:type="dxa"/>
            <w:shd w:val="clear" w:color="auto" w:fill="FFFFFF" w:themeFill="background1"/>
          </w:tcPr>
          <w:p w14:paraId="48C9DFD9" w14:textId="587E05E5" w:rsidR="009600CF" w:rsidRPr="00B62017" w:rsidRDefault="009600CF" w:rsidP="00F167F7">
            <w:pPr>
              <w:pStyle w:val="BodyText"/>
              <w:spacing w:before="120" w:after="120"/>
              <w:jc w:val="left"/>
              <w:rPr>
                <w:rFonts w:eastAsia="MS Gothic"/>
                <w:sz w:val="18"/>
                <w:szCs w:val="18"/>
              </w:rPr>
            </w:pPr>
          </w:p>
        </w:tc>
        <w:tc>
          <w:tcPr>
            <w:tcW w:w="732" w:type="dxa"/>
            <w:gridSpan w:val="4"/>
            <w:shd w:val="clear" w:color="auto" w:fill="FFFFFF" w:themeFill="background1"/>
          </w:tcPr>
          <w:p w14:paraId="039D5097" w14:textId="77777777" w:rsidR="009600CF" w:rsidRPr="003A1C01" w:rsidRDefault="009600CF" w:rsidP="00F167F7">
            <w:pPr>
              <w:pStyle w:val="BodyText"/>
              <w:jc w:val="left"/>
              <w:rPr>
                <w:noProof/>
              </w:rPr>
            </w:pPr>
            <w:r w:rsidRPr="003A1C01">
              <w:rPr>
                <w:noProof/>
                <w:lang w:val="en-GB" w:eastAsia="en-GB"/>
              </w:rPr>
              <w:drawing>
                <wp:anchor distT="0" distB="0" distL="114300" distR="114300" simplePos="0" relativeHeight="251673600" behindDoc="0" locked="1" layoutInCell="1" allowOverlap="1" wp14:anchorId="7A46C9A5" wp14:editId="08B2BCC0">
                  <wp:simplePos x="0" y="0"/>
                  <wp:positionH relativeFrom="column">
                    <wp:posOffset>-418</wp:posOffset>
                  </wp:positionH>
                  <wp:positionV relativeFrom="paragraph">
                    <wp:posOffset>263</wp:posOffset>
                  </wp:positionV>
                  <wp:extent cx="360000" cy="360000"/>
                  <wp:effectExtent l="0" t="0" r="2540" b="2540"/>
                  <wp:wrapSquare wrapText="bothSides"/>
                  <wp:docPr id="95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tc>
        <w:tc>
          <w:tcPr>
            <w:tcW w:w="8058" w:type="dxa"/>
            <w:gridSpan w:val="8"/>
            <w:shd w:val="clear" w:color="auto" w:fill="FFFFFF" w:themeFill="background1"/>
          </w:tcPr>
          <w:p w14:paraId="452972A4" w14:textId="77777777" w:rsidR="009600CF" w:rsidRPr="00B2467E" w:rsidRDefault="009600CF" w:rsidP="00F167F7">
            <w:pPr>
              <w:pStyle w:val="BodyText"/>
              <w:spacing w:before="120" w:after="120"/>
              <w:rPr>
                <w:rFonts w:cs="Arial"/>
                <w:b/>
              </w:rPr>
            </w:pPr>
            <w:r>
              <w:t xml:space="preserve">Derivatives are not directly used to attain any environmental or social characteristics. </w:t>
            </w:r>
          </w:p>
        </w:tc>
      </w:tr>
      <w:tr w:rsidR="00304D82" w14:paraId="0CB19BE5" w14:textId="77777777" w:rsidTr="00681ABF">
        <w:trPr>
          <w:trHeight w:val="113"/>
        </w:trPr>
        <w:tc>
          <w:tcPr>
            <w:tcW w:w="1984" w:type="dxa"/>
            <w:shd w:val="clear" w:color="auto" w:fill="FFFFFF" w:themeFill="background1"/>
          </w:tcPr>
          <w:p w14:paraId="2D4DABF1" w14:textId="77777777" w:rsidR="00304D82" w:rsidRPr="00886A22" w:rsidRDefault="00304D82" w:rsidP="00F167F7">
            <w:pPr>
              <w:pStyle w:val="BodyText"/>
              <w:jc w:val="left"/>
              <w:rPr>
                <w:rFonts w:eastAsia="MS Gothic"/>
                <w:b/>
              </w:rPr>
            </w:pPr>
          </w:p>
        </w:tc>
        <w:tc>
          <w:tcPr>
            <w:tcW w:w="732" w:type="dxa"/>
            <w:gridSpan w:val="4"/>
            <w:shd w:val="clear" w:color="auto" w:fill="FFFFFF" w:themeFill="background1"/>
          </w:tcPr>
          <w:p w14:paraId="17C9F7E6" w14:textId="77777777" w:rsidR="00304D82" w:rsidRPr="003A1C01" w:rsidRDefault="00304D82" w:rsidP="00F167F7">
            <w:pPr>
              <w:pStyle w:val="BodyText"/>
              <w:jc w:val="left"/>
              <w:rPr>
                <w:noProof/>
                <w:lang w:eastAsia="en-GB"/>
              </w:rPr>
            </w:pPr>
          </w:p>
        </w:tc>
        <w:tc>
          <w:tcPr>
            <w:tcW w:w="583" w:type="dxa"/>
            <w:gridSpan w:val="2"/>
            <w:shd w:val="clear" w:color="auto" w:fill="FFFFFF" w:themeFill="background1"/>
            <w:vAlign w:val="center"/>
          </w:tcPr>
          <w:p w14:paraId="2D72854F" w14:textId="77777777" w:rsidR="00304D82" w:rsidRPr="00304D82" w:rsidRDefault="00304D82" w:rsidP="00304D82">
            <w:pPr>
              <w:spacing w:line="256" w:lineRule="auto"/>
              <w:jc w:val="left"/>
              <w:rPr>
                <w:rFonts w:ascii="Calibri" w:hAnsi="Calibri" w:cs="Calibri"/>
                <w:iCs/>
                <w:noProof/>
                <w:sz w:val="18"/>
              </w:rPr>
            </w:pPr>
          </w:p>
        </w:tc>
        <w:tc>
          <w:tcPr>
            <w:tcW w:w="7475" w:type="dxa"/>
            <w:gridSpan w:val="6"/>
            <w:shd w:val="clear" w:color="auto" w:fill="FFFFFF" w:themeFill="background1"/>
            <w:vAlign w:val="center"/>
          </w:tcPr>
          <w:p w14:paraId="3A37E0A3" w14:textId="0038B5AB" w:rsidR="00A75606" w:rsidRPr="00EC2858" w:rsidRDefault="00304D82" w:rsidP="00530B03">
            <w:pPr>
              <w:spacing w:after="240" w:line="256" w:lineRule="auto"/>
              <w:jc w:val="left"/>
              <w:rPr>
                <w:rFonts w:cs="Arial"/>
                <w:b/>
                <w:sz w:val="18"/>
                <w:szCs w:val="18"/>
              </w:rPr>
            </w:pPr>
            <w:r w:rsidRPr="00304D82">
              <w:rPr>
                <w:rFonts w:cs="Arial"/>
                <w:b/>
                <w:sz w:val="18"/>
                <w:szCs w:val="18"/>
              </w:rPr>
              <w:t>Does the financial product invest in fossil gas and/or nuclear energy related activities that comply with the EU Taxonomy</w:t>
            </w:r>
            <w:r w:rsidRPr="00304D82">
              <w:rPr>
                <w:rStyle w:val="FootnoteReference"/>
                <w:rFonts w:cs="Arial"/>
                <w:b/>
                <w:szCs w:val="18"/>
              </w:rPr>
              <w:footnoteReference w:id="1"/>
            </w:r>
          </w:p>
        </w:tc>
      </w:tr>
      <w:tr w:rsidR="000E714D" w14:paraId="57424A26" w14:textId="77777777" w:rsidTr="00681ABF">
        <w:trPr>
          <w:trHeight w:val="469"/>
        </w:trPr>
        <w:tc>
          <w:tcPr>
            <w:tcW w:w="1984" w:type="dxa"/>
            <w:vMerge w:val="restart"/>
            <w:shd w:val="clear" w:color="auto" w:fill="FFFFFF" w:themeFill="background1"/>
          </w:tcPr>
          <w:p w14:paraId="119A5F6D" w14:textId="45B264FB" w:rsidR="000E714D" w:rsidRPr="00886A22" w:rsidRDefault="000E714D" w:rsidP="00F167F7">
            <w:pPr>
              <w:pStyle w:val="BodyText"/>
              <w:jc w:val="left"/>
              <w:rPr>
                <w:rFonts w:eastAsia="MS Gothic"/>
                <w:b/>
              </w:rPr>
            </w:pPr>
          </w:p>
        </w:tc>
        <w:tc>
          <w:tcPr>
            <w:tcW w:w="732" w:type="dxa"/>
            <w:gridSpan w:val="4"/>
            <w:vMerge w:val="restart"/>
            <w:shd w:val="clear" w:color="auto" w:fill="FFFFFF" w:themeFill="background1"/>
          </w:tcPr>
          <w:p w14:paraId="6A4B8866" w14:textId="77777777" w:rsidR="000E714D" w:rsidRPr="003A1C01" w:rsidRDefault="000E714D" w:rsidP="00F167F7">
            <w:pPr>
              <w:pStyle w:val="BodyText"/>
              <w:jc w:val="left"/>
              <w:rPr>
                <w:noProof/>
                <w:lang w:eastAsia="en-GB"/>
              </w:rPr>
            </w:pPr>
          </w:p>
        </w:tc>
        <w:tc>
          <w:tcPr>
            <w:tcW w:w="583" w:type="dxa"/>
            <w:gridSpan w:val="2"/>
            <w:shd w:val="clear" w:color="auto" w:fill="FFFFFF" w:themeFill="background1"/>
            <w:vAlign w:val="center"/>
          </w:tcPr>
          <w:p w14:paraId="1FB6FA0D" w14:textId="77777777" w:rsidR="000E714D" w:rsidRPr="000E714D" w:rsidRDefault="000E714D" w:rsidP="000E714D">
            <w:pPr>
              <w:spacing w:line="256" w:lineRule="auto"/>
              <w:jc w:val="left"/>
              <w:rPr>
                <w:rFonts w:ascii="Calibri" w:hAnsi="Calibri" w:cs="Calibri"/>
                <w:iCs/>
                <w:noProof/>
                <w:sz w:val="18"/>
              </w:rPr>
            </w:pPr>
          </w:p>
        </w:tc>
        <w:tc>
          <w:tcPr>
            <w:tcW w:w="600" w:type="dxa"/>
            <w:shd w:val="clear" w:color="auto" w:fill="FFFFFF" w:themeFill="background1"/>
            <w:vAlign w:val="center"/>
          </w:tcPr>
          <w:p w14:paraId="49A385AF" w14:textId="68629C7A" w:rsidR="000E714D" w:rsidRPr="000E714D" w:rsidRDefault="000E714D" w:rsidP="000E714D">
            <w:pPr>
              <w:spacing w:line="256" w:lineRule="auto"/>
              <w:jc w:val="left"/>
              <w:rPr>
                <w:rFonts w:ascii="Calibri" w:hAnsi="Calibri" w:cs="Calibri"/>
                <w:iCs/>
                <w:noProof/>
                <w:sz w:val="18"/>
              </w:rPr>
            </w:pPr>
            <w:r w:rsidRPr="00DB6375">
              <w:rPr>
                <w:noProof/>
                <w:highlight w:val="yellow"/>
                <w:lang w:val="en-GB" w:eastAsia="en-GB"/>
              </w:rPr>
              <mc:AlternateContent>
                <mc:Choice Requires="wps">
                  <w:drawing>
                    <wp:anchor distT="0" distB="0" distL="114300" distR="114300" simplePos="0" relativeHeight="251677696" behindDoc="0" locked="0" layoutInCell="1" allowOverlap="1" wp14:anchorId="2A19DA00" wp14:editId="3CCCF822">
                      <wp:simplePos x="0" y="0"/>
                      <wp:positionH relativeFrom="column">
                        <wp:posOffset>3175</wp:posOffset>
                      </wp:positionH>
                      <wp:positionV relativeFrom="paragraph">
                        <wp:posOffset>75565</wp:posOffset>
                      </wp:positionV>
                      <wp:extent cx="215900" cy="215900"/>
                      <wp:effectExtent l="0" t="0" r="0" b="0"/>
                      <wp:wrapNone/>
                      <wp:docPr id="9" name="Rectangle 9"/>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34D59" w14:textId="25AF5EE2" w:rsidR="00DF7F67" w:rsidRPr="00B9521E" w:rsidRDefault="00DF7F67" w:rsidP="000E714D">
                                  <w:pPr>
                                    <w:jc w:val="center"/>
                                    <w:rPr>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9DA00" id="Rectangle 9" o:spid="_x0000_s1026" style="position:absolute;margin-left:.25pt;margin-top:5.95pt;width:17pt;height:1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" fillcolor="#f2f2f2 [3052]" stroked="f" strokeweight="2pt">
                      <v:textbox>
                        <w:txbxContent>
                          <w:p w14:paraId="58E34D59" w14:textId="25AF5EE2" w:rsidR="00DF7F67" w:rsidRPr="00B9521E" w:rsidRDefault="00DF7F67" w:rsidP="000E714D">
                            <w:pPr>
                              <w:jc w:val="center"/>
                              <w:rPr>
                                <w:color w:val="1F497D" w:themeColor="text2"/>
                              </w:rPr>
                            </w:pPr>
                          </w:p>
                        </w:txbxContent>
                      </v:textbox>
                    </v:rect>
                  </w:pict>
                </mc:Fallback>
              </mc:AlternateContent>
            </w:r>
          </w:p>
        </w:tc>
        <w:tc>
          <w:tcPr>
            <w:tcW w:w="6875" w:type="dxa"/>
            <w:gridSpan w:val="5"/>
            <w:shd w:val="clear" w:color="auto" w:fill="FFFFFF" w:themeFill="background1"/>
            <w:vAlign w:val="center"/>
          </w:tcPr>
          <w:p w14:paraId="6EBCACE9" w14:textId="62A58C0C" w:rsidR="000E714D" w:rsidRPr="000E714D" w:rsidRDefault="000E714D" w:rsidP="00777297">
            <w:pPr>
              <w:spacing w:line="256" w:lineRule="auto"/>
              <w:jc w:val="left"/>
              <w:rPr>
                <w:rFonts w:ascii="Calibri" w:hAnsi="Calibri" w:cs="Calibri"/>
                <w:iCs/>
                <w:noProof/>
                <w:sz w:val="18"/>
              </w:rPr>
            </w:pPr>
            <w:r w:rsidRPr="000E714D">
              <w:rPr>
                <w:rFonts w:ascii="Calibri" w:hAnsi="Calibri" w:cs="Calibri"/>
                <w:b/>
                <w:iCs/>
                <w:noProof/>
                <w:sz w:val="18"/>
              </w:rPr>
              <w:t>Yes</w:t>
            </w:r>
            <w:r w:rsidRPr="000E714D">
              <w:rPr>
                <w:rFonts w:ascii="Calibri" w:hAnsi="Calibri" w:cs="Calibri"/>
                <w:iCs/>
                <w:noProof/>
                <w:sz w:val="18"/>
              </w:rPr>
              <w:t xml:space="preserve">: </w:t>
            </w:r>
          </w:p>
        </w:tc>
      </w:tr>
      <w:tr w:rsidR="00681ABF" w14:paraId="7A2D64A7" w14:textId="77777777" w:rsidTr="00681ABF">
        <w:trPr>
          <w:trHeight w:val="397"/>
        </w:trPr>
        <w:tc>
          <w:tcPr>
            <w:tcW w:w="1984" w:type="dxa"/>
            <w:vMerge/>
            <w:shd w:val="clear" w:color="auto" w:fill="FFFFFF" w:themeFill="background1"/>
          </w:tcPr>
          <w:p w14:paraId="542C9B7E" w14:textId="77777777" w:rsidR="00681ABF" w:rsidRPr="00886A22" w:rsidRDefault="00681ABF" w:rsidP="00F167F7">
            <w:pPr>
              <w:pStyle w:val="BodyText"/>
              <w:jc w:val="left"/>
              <w:rPr>
                <w:rFonts w:eastAsia="MS Gothic"/>
                <w:b/>
              </w:rPr>
            </w:pPr>
          </w:p>
        </w:tc>
        <w:tc>
          <w:tcPr>
            <w:tcW w:w="732" w:type="dxa"/>
            <w:gridSpan w:val="4"/>
            <w:vMerge/>
            <w:shd w:val="clear" w:color="auto" w:fill="FFFFFF" w:themeFill="background1"/>
          </w:tcPr>
          <w:p w14:paraId="4E5624FD" w14:textId="77777777" w:rsidR="00681ABF" w:rsidRPr="003A1C01" w:rsidRDefault="00681ABF" w:rsidP="00F167F7">
            <w:pPr>
              <w:pStyle w:val="BodyText"/>
              <w:jc w:val="left"/>
              <w:rPr>
                <w:noProof/>
                <w:lang w:eastAsia="en-GB"/>
              </w:rPr>
            </w:pPr>
          </w:p>
        </w:tc>
        <w:tc>
          <w:tcPr>
            <w:tcW w:w="583" w:type="dxa"/>
            <w:gridSpan w:val="2"/>
            <w:shd w:val="clear" w:color="auto" w:fill="FFFFFF" w:themeFill="background1"/>
            <w:vAlign w:val="center"/>
          </w:tcPr>
          <w:p w14:paraId="18EE54FC" w14:textId="5DCD580B" w:rsidR="00681ABF" w:rsidRPr="000E714D" w:rsidRDefault="00681ABF" w:rsidP="000E714D">
            <w:pPr>
              <w:spacing w:line="256" w:lineRule="auto"/>
              <w:jc w:val="left"/>
              <w:rPr>
                <w:rFonts w:ascii="Calibri" w:hAnsi="Calibri" w:cs="Calibri"/>
                <w:iCs/>
                <w:noProof/>
                <w:sz w:val="18"/>
              </w:rPr>
            </w:pPr>
          </w:p>
        </w:tc>
        <w:tc>
          <w:tcPr>
            <w:tcW w:w="600" w:type="dxa"/>
            <w:shd w:val="clear" w:color="auto" w:fill="FFFFFF" w:themeFill="background1"/>
            <w:vAlign w:val="center"/>
          </w:tcPr>
          <w:p w14:paraId="0A3F0BF6" w14:textId="7941DDE0" w:rsidR="00681ABF" w:rsidRPr="000E714D" w:rsidRDefault="00681ABF" w:rsidP="000E714D">
            <w:pPr>
              <w:spacing w:line="256" w:lineRule="auto"/>
              <w:jc w:val="left"/>
              <w:rPr>
                <w:rFonts w:ascii="Calibri" w:hAnsi="Calibri" w:cs="Calibri"/>
                <w:iCs/>
                <w:noProof/>
                <w:sz w:val="18"/>
              </w:rPr>
            </w:pPr>
            <w:r w:rsidRPr="00DB6375">
              <w:rPr>
                <w:noProof/>
                <w:highlight w:val="yellow"/>
                <w:lang w:val="en-GB" w:eastAsia="en-GB"/>
              </w:rPr>
              <mc:AlternateContent>
                <mc:Choice Requires="wps">
                  <w:drawing>
                    <wp:anchor distT="0" distB="0" distL="114300" distR="114300" simplePos="0" relativeHeight="251683840" behindDoc="0" locked="0" layoutInCell="1" allowOverlap="1" wp14:anchorId="75D96B25" wp14:editId="40AC316E">
                      <wp:simplePos x="0" y="0"/>
                      <wp:positionH relativeFrom="column">
                        <wp:posOffset>-2526665</wp:posOffset>
                      </wp:positionH>
                      <wp:positionV relativeFrom="paragraph">
                        <wp:posOffset>-8448675</wp:posOffset>
                      </wp:positionV>
                      <wp:extent cx="215900" cy="215900"/>
                      <wp:effectExtent l="0" t="0" r="0" b="0"/>
                      <wp:wrapNone/>
                      <wp:docPr id="10" name="Rectangle 10"/>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FB8E5" w14:textId="77777777" w:rsidR="00DF7F67" w:rsidRPr="00B9521E" w:rsidRDefault="00DF7F67" w:rsidP="000E714D">
                                  <w:pPr>
                                    <w:jc w:val="center"/>
                                    <w:rPr>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96B25" id="Rectangle 10" o:spid="_x0000_s1027" style="position:absolute;margin-left:-198.95pt;margin-top:-665.25pt;width:17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" fillcolor="#f2f2f2 [3052]" stroked="f" strokeweight="2pt">
                      <v:textbox>
                        <w:txbxContent>
                          <w:p w14:paraId="4B0FB8E5" w14:textId="77777777" w:rsidR="00DF7F67" w:rsidRPr="00B9521E" w:rsidRDefault="00DF7F67" w:rsidP="000E714D">
                            <w:pPr>
                              <w:jc w:val="center"/>
                              <w:rPr>
                                <w:color w:val="1F497D" w:themeColor="text2"/>
                              </w:rPr>
                            </w:pPr>
                          </w:p>
                        </w:txbxContent>
                      </v:textbox>
                    </v:rect>
                  </w:pict>
                </mc:Fallback>
              </mc:AlternateContent>
            </w:r>
          </w:p>
        </w:tc>
        <w:tc>
          <w:tcPr>
            <w:tcW w:w="601" w:type="dxa"/>
            <w:shd w:val="clear" w:color="auto" w:fill="FFFFFF" w:themeFill="background1"/>
            <w:vAlign w:val="center"/>
          </w:tcPr>
          <w:p w14:paraId="2FBA89A0" w14:textId="0900953D" w:rsidR="00681ABF" w:rsidRPr="000E714D" w:rsidRDefault="00681ABF" w:rsidP="000E714D">
            <w:pPr>
              <w:spacing w:line="256" w:lineRule="auto"/>
              <w:jc w:val="left"/>
              <w:rPr>
                <w:rFonts w:ascii="Calibri" w:hAnsi="Calibri" w:cs="Calibri"/>
                <w:iCs/>
                <w:noProof/>
                <w:sz w:val="18"/>
              </w:rPr>
            </w:pPr>
            <w:r w:rsidRPr="00DB6375">
              <w:rPr>
                <w:noProof/>
                <w:highlight w:val="yellow"/>
                <w:lang w:val="en-GB" w:eastAsia="en-GB"/>
              </w:rPr>
              <mc:AlternateContent>
                <mc:Choice Requires="wps">
                  <w:drawing>
                    <wp:anchor distT="0" distB="0" distL="114300" distR="114300" simplePos="0" relativeHeight="251684864" behindDoc="0" locked="0" layoutInCell="1" allowOverlap="1" wp14:anchorId="766A00A6" wp14:editId="0B6BD4D7">
                      <wp:simplePos x="0" y="0"/>
                      <wp:positionH relativeFrom="column">
                        <wp:posOffset>-1270</wp:posOffset>
                      </wp:positionH>
                      <wp:positionV relativeFrom="paragraph">
                        <wp:posOffset>61595</wp:posOffset>
                      </wp:positionV>
                      <wp:extent cx="241300" cy="247650"/>
                      <wp:effectExtent l="0" t="0" r="6350" b="0"/>
                      <wp:wrapNone/>
                      <wp:docPr id="12" name="Rectangle 12"/>
                      <wp:cNvGraphicFramePr/>
                      <a:graphic xmlns:a="http://schemas.openxmlformats.org/drawingml/2006/main">
                        <a:graphicData uri="http://schemas.microsoft.com/office/word/2010/wordprocessingShape">
                          <wps:wsp>
                            <wps:cNvSpPr/>
                            <wps:spPr>
                              <a:xfrm>
                                <a:off x="0" y="0"/>
                                <a:ext cx="241300" cy="2476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0D24C" w14:textId="53D7DADE" w:rsidR="00DF7F67" w:rsidRPr="00B9521E" w:rsidRDefault="00DF7F67" w:rsidP="00681ABF">
                                  <w:pPr>
                                    <w:jc w:val="center"/>
                                    <w:rPr>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A00A6" id="Rectangle 12" o:spid="_x0000_s1028" style="position:absolute;margin-left:-.1pt;margin-top:4.85pt;width:19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" fillcolor="#f2f2f2 [3052]" stroked="f" strokeweight="2pt">
                      <v:textbox>
                        <w:txbxContent>
                          <w:p w14:paraId="4130D24C" w14:textId="53D7DADE" w:rsidR="00DF7F67" w:rsidRPr="00B9521E" w:rsidRDefault="00DF7F67" w:rsidP="00681ABF">
                            <w:pPr>
                              <w:jc w:val="center"/>
                              <w:rPr>
                                <w:color w:val="1F497D" w:themeColor="text2"/>
                              </w:rPr>
                            </w:pPr>
                          </w:p>
                        </w:txbxContent>
                      </v:textbox>
                    </v:rect>
                  </w:pict>
                </mc:Fallback>
              </mc:AlternateContent>
            </w:r>
          </w:p>
        </w:tc>
        <w:tc>
          <w:tcPr>
            <w:tcW w:w="1200" w:type="dxa"/>
            <w:shd w:val="clear" w:color="auto" w:fill="FFFFFF" w:themeFill="background1"/>
            <w:vAlign w:val="center"/>
          </w:tcPr>
          <w:p w14:paraId="223E8DE0" w14:textId="43A9A658" w:rsidR="00681ABF" w:rsidRPr="000E714D" w:rsidRDefault="00681ABF" w:rsidP="000E714D">
            <w:pPr>
              <w:spacing w:line="256" w:lineRule="auto"/>
              <w:jc w:val="left"/>
              <w:rPr>
                <w:rFonts w:ascii="Calibri" w:hAnsi="Calibri" w:cs="Calibri"/>
                <w:iCs/>
                <w:noProof/>
                <w:sz w:val="18"/>
              </w:rPr>
            </w:pPr>
            <w:r w:rsidRPr="00681ABF">
              <w:rPr>
                <w:rFonts w:ascii="Calibri" w:hAnsi="Calibri" w:cs="Calibri"/>
                <w:iCs/>
                <w:noProof/>
                <w:sz w:val="18"/>
              </w:rPr>
              <w:t>In fossil gas</w:t>
            </w:r>
          </w:p>
        </w:tc>
        <w:tc>
          <w:tcPr>
            <w:tcW w:w="700" w:type="dxa"/>
            <w:shd w:val="clear" w:color="auto" w:fill="FFFFFF" w:themeFill="background1"/>
            <w:vAlign w:val="center"/>
          </w:tcPr>
          <w:p w14:paraId="6071C09E" w14:textId="7A409D6B" w:rsidR="00681ABF" w:rsidRPr="000E714D" w:rsidRDefault="00681ABF" w:rsidP="000E714D">
            <w:pPr>
              <w:spacing w:line="256" w:lineRule="auto"/>
              <w:jc w:val="left"/>
              <w:rPr>
                <w:rFonts w:ascii="Calibri" w:hAnsi="Calibri" w:cs="Calibri"/>
                <w:iCs/>
                <w:noProof/>
                <w:sz w:val="18"/>
              </w:rPr>
            </w:pPr>
            <w:r w:rsidRPr="00DB6375">
              <w:rPr>
                <w:noProof/>
                <w:highlight w:val="yellow"/>
                <w:lang w:val="en-GB" w:eastAsia="en-GB"/>
              </w:rPr>
              <mc:AlternateContent>
                <mc:Choice Requires="wps">
                  <w:drawing>
                    <wp:anchor distT="0" distB="0" distL="114300" distR="114300" simplePos="0" relativeHeight="251686912" behindDoc="0" locked="0" layoutInCell="1" allowOverlap="1" wp14:anchorId="1BE411A0" wp14:editId="04A36905">
                      <wp:simplePos x="0" y="0"/>
                      <wp:positionH relativeFrom="column">
                        <wp:posOffset>-1270</wp:posOffset>
                      </wp:positionH>
                      <wp:positionV relativeFrom="paragraph">
                        <wp:posOffset>61595</wp:posOffset>
                      </wp:positionV>
                      <wp:extent cx="285750" cy="330200"/>
                      <wp:effectExtent l="0" t="0" r="0" b="0"/>
                      <wp:wrapNone/>
                      <wp:docPr id="23" name="Rectangle 23"/>
                      <wp:cNvGraphicFramePr/>
                      <a:graphic xmlns:a="http://schemas.openxmlformats.org/drawingml/2006/main">
                        <a:graphicData uri="http://schemas.microsoft.com/office/word/2010/wordprocessingShape">
                          <wps:wsp>
                            <wps:cNvSpPr/>
                            <wps:spPr>
                              <a:xfrm>
                                <a:off x="0" y="0"/>
                                <a:ext cx="285750" cy="330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E37FE" w14:textId="1AF45D87" w:rsidR="00DF7F67" w:rsidRPr="00B9521E" w:rsidRDefault="00DF7F67" w:rsidP="00681ABF">
                                  <w:pPr>
                                    <w:jc w:val="center"/>
                                    <w:rPr>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411A0" id="Rectangle 23" o:spid="_x0000_s1029" style="position:absolute;margin-left:-.1pt;margin-top:4.85pt;width:22.5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" fillcolor="#f2f2f2 [3052]" stroked="f" strokeweight="2pt">
                      <v:textbox>
                        <w:txbxContent>
                          <w:p w14:paraId="0A7E37FE" w14:textId="1AF45D87" w:rsidR="00DF7F67" w:rsidRPr="00B9521E" w:rsidRDefault="00DF7F67" w:rsidP="00681ABF">
                            <w:pPr>
                              <w:jc w:val="center"/>
                              <w:rPr>
                                <w:color w:val="1F497D" w:themeColor="text2"/>
                              </w:rPr>
                            </w:pPr>
                          </w:p>
                        </w:txbxContent>
                      </v:textbox>
                    </v:rect>
                  </w:pict>
                </mc:Fallback>
              </mc:AlternateContent>
            </w:r>
          </w:p>
        </w:tc>
        <w:tc>
          <w:tcPr>
            <w:tcW w:w="4374" w:type="dxa"/>
            <w:gridSpan w:val="2"/>
            <w:shd w:val="clear" w:color="auto" w:fill="FFFFFF" w:themeFill="background1"/>
            <w:vAlign w:val="center"/>
          </w:tcPr>
          <w:p w14:paraId="59D5CD2F" w14:textId="009BB599" w:rsidR="00681ABF" w:rsidRPr="000E714D" w:rsidRDefault="00681ABF" w:rsidP="000E714D">
            <w:pPr>
              <w:spacing w:line="256" w:lineRule="auto"/>
              <w:jc w:val="left"/>
              <w:rPr>
                <w:rFonts w:ascii="Calibri" w:hAnsi="Calibri" w:cs="Calibri"/>
                <w:iCs/>
                <w:noProof/>
                <w:sz w:val="18"/>
              </w:rPr>
            </w:pPr>
            <w:r w:rsidRPr="00681ABF">
              <w:rPr>
                <w:rFonts w:ascii="Calibri" w:hAnsi="Calibri" w:cs="Calibri"/>
                <w:iCs/>
                <w:noProof/>
                <w:sz w:val="18"/>
              </w:rPr>
              <w:t>In nuclear energy</w:t>
            </w:r>
          </w:p>
        </w:tc>
      </w:tr>
      <w:tr w:rsidR="00681ABF" w14:paraId="16F2D7F3" w14:textId="77777777" w:rsidTr="009F71D7">
        <w:trPr>
          <w:trHeight w:val="510"/>
        </w:trPr>
        <w:tc>
          <w:tcPr>
            <w:tcW w:w="1984" w:type="dxa"/>
            <w:vMerge/>
            <w:shd w:val="clear" w:color="auto" w:fill="FFFFFF" w:themeFill="background1"/>
          </w:tcPr>
          <w:p w14:paraId="3A7B600A" w14:textId="77777777" w:rsidR="00681ABF" w:rsidRPr="00886A22" w:rsidRDefault="00681ABF" w:rsidP="00F167F7">
            <w:pPr>
              <w:pStyle w:val="BodyText"/>
              <w:jc w:val="left"/>
              <w:rPr>
                <w:rFonts w:eastAsia="MS Gothic"/>
                <w:b/>
              </w:rPr>
            </w:pPr>
          </w:p>
        </w:tc>
        <w:tc>
          <w:tcPr>
            <w:tcW w:w="732" w:type="dxa"/>
            <w:gridSpan w:val="4"/>
            <w:vMerge/>
            <w:shd w:val="clear" w:color="auto" w:fill="FFFFFF" w:themeFill="background1"/>
          </w:tcPr>
          <w:p w14:paraId="2A2045C3" w14:textId="77777777" w:rsidR="00681ABF" w:rsidRPr="003A1C01" w:rsidRDefault="00681ABF" w:rsidP="00F167F7">
            <w:pPr>
              <w:pStyle w:val="BodyText"/>
              <w:jc w:val="left"/>
              <w:rPr>
                <w:noProof/>
                <w:lang w:eastAsia="en-GB"/>
              </w:rPr>
            </w:pPr>
          </w:p>
        </w:tc>
        <w:tc>
          <w:tcPr>
            <w:tcW w:w="583" w:type="dxa"/>
            <w:gridSpan w:val="2"/>
            <w:shd w:val="clear" w:color="auto" w:fill="FFFFFF" w:themeFill="background1"/>
            <w:vAlign w:val="center"/>
          </w:tcPr>
          <w:p w14:paraId="5B538318" w14:textId="0DF9A9A3" w:rsidR="00681ABF" w:rsidRPr="000E714D" w:rsidRDefault="00681ABF" w:rsidP="000E714D">
            <w:pPr>
              <w:spacing w:line="256" w:lineRule="auto"/>
              <w:jc w:val="left"/>
              <w:rPr>
                <w:rFonts w:ascii="Calibri" w:hAnsi="Calibri" w:cs="Calibri"/>
                <w:iCs/>
                <w:noProof/>
                <w:sz w:val="18"/>
              </w:rPr>
            </w:pPr>
          </w:p>
        </w:tc>
        <w:tc>
          <w:tcPr>
            <w:tcW w:w="600" w:type="dxa"/>
            <w:shd w:val="clear" w:color="auto" w:fill="FFFFFF" w:themeFill="background1"/>
            <w:vAlign w:val="center"/>
          </w:tcPr>
          <w:p w14:paraId="2DD90A89" w14:textId="3C1D879C" w:rsidR="00681ABF" w:rsidRPr="000E714D" w:rsidRDefault="00FD25DA" w:rsidP="000E714D">
            <w:pPr>
              <w:spacing w:line="256" w:lineRule="auto"/>
              <w:jc w:val="left"/>
              <w:rPr>
                <w:rFonts w:ascii="Calibri" w:hAnsi="Calibri" w:cs="Calibri"/>
                <w:iCs/>
                <w:noProof/>
                <w:sz w:val="18"/>
              </w:rPr>
            </w:pPr>
            <w:sdt>
              <w:sdtPr>
                <w:rPr>
                  <w:rFonts w:asciiTheme="minorHAnsi" w:eastAsia="Calibri" w:hAnsiTheme="minorHAnsi" w:cstheme="minorHAnsi"/>
                  <w:bCs/>
                  <w:iCs/>
                  <w:noProof/>
                  <w:szCs w:val="22"/>
                </w:rPr>
                <w:id w:val="-1497950537"/>
                <w14:checkbox>
                  <w14:checked w14:val="1"/>
                  <w14:checkedState w14:val="2612" w14:font="MS Gothic"/>
                  <w14:uncheckedState w14:val="2610" w14:font="MS Gothic"/>
                </w14:checkbox>
              </w:sdtPr>
              <w:sdtEndPr/>
              <w:sdtContent>
                <w:r w:rsidR="0045252F">
                  <w:rPr>
                    <w:rFonts w:ascii="MS Gothic" w:eastAsia="MS Gothic" w:hAnsi="MS Gothic" w:cstheme="minorHAnsi" w:hint="eastAsia"/>
                    <w:bCs/>
                    <w:iCs/>
                    <w:noProof/>
                    <w:szCs w:val="22"/>
                  </w:rPr>
                  <w:t>☒</w:t>
                </w:r>
              </w:sdtContent>
            </w:sdt>
            <w:r w:rsidR="009F71D7" w:rsidRPr="00DB6375">
              <w:rPr>
                <w:noProof/>
                <w:highlight w:val="yellow"/>
                <w:lang w:val="en-GB" w:eastAsia="en-GB"/>
              </w:rPr>
              <w:t xml:space="preserve"> </w:t>
            </w:r>
          </w:p>
        </w:tc>
        <w:tc>
          <w:tcPr>
            <w:tcW w:w="1801" w:type="dxa"/>
            <w:gridSpan w:val="2"/>
            <w:shd w:val="clear" w:color="auto" w:fill="FFFFFF" w:themeFill="background1"/>
            <w:vAlign w:val="center"/>
          </w:tcPr>
          <w:p w14:paraId="179001BC" w14:textId="3570A867" w:rsidR="00681ABF" w:rsidRPr="00681ABF" w:rsidRDefault="00681ABF" w:rsidP="000E714D">
            <w:pPr>
              <w:spacing w:line="256" w:lineRule="auto"/>
              <w:jc w:val="left"/>
              <w:rPr>
                <w:rFonts w:ascii="Calibri" w:hAnsi="Calibri" w:cs="Calibri"/>
                <w:b/>
                <w:iCs/>
                <w:noProof/>
                <w:sz w:val="18"/>
              </w:rPr>
            </w:pPr>
            <w:r w:rsidRPr="00681ABF">
              <w:rPr>
                <w:rFonts w:ascii="Calibri" w:hAnsi="Calibri" w:cs="Calibri"/>
                <w:b/>
                <w:iCs/>
                <w:noProof/>
                <w:sz w:val="18"/>
              </w:rPr>
              <w:t>No</w:t>
            </w:r>
          </w:p>
        </w:tc>
        <w:tc>
          <w:tcPr>
            <w:tcW w:w="5074" w:type="dxa"/>
            <w:gridSpan w:val="3"/>
            <w:shd w:val="clear" w:color="auto" w:fill="FFFFFF" w:themeFill="background1"/>
            <w:vAlign w:val="center"/>
          </w:tcPr>
          <w:p w14:paraId="3321136C" w14:textId="1ADAEA19" w:rsidR="00681ABF" w:rsidRPr="000E714D" w:rsidRDefault="00681ABF" w:rsidP="000E714D">
            <w:pPr>
              <w:spacing w:line="256" w:lineRule="auto"/>
              <w:jc w:val="left"/>
              <w:rPr>
                <w:rFonts w:ascii="Calibri" w:hAnsi="Calibri" w:cs="Calibri"/>
                <w:iCs/>
                <w:noProof/>
                <w:sz w:val="18"/>
              </w:rPr>
            </w:pPr>
          </w:p>
        </w:tc>
      </w:tr>
      <w:tr w:rsidR="00BB359B" w14:paraId="75F7440B" w14:textId="77777777" w:rsidTr="00681ABF">
        <w:trPr>
          <w:trHeight w:val="113"/>
        </w:trPr>
        <w:tc>
          <w:tcPr>
            <w:tcW w:w="1984" w:type="dxa"/>
            <w:shd w:val="clear" w:color="auto" w:fill="FFFFFF" w:themeFill="background1"/>
          </w:tcPr>
          <w:p w14:paraId="51D6C7D2" w14:textId="77777777" w:rsidR="00BB359B" w:rsidRPr="00886A22" w:rsidRDefault="00BB359B" w:rsidP="00681ABF">
            <w:pPr>
              <w:pStyle w:val="BodyText"/>
              <w:spacing w:after="0"/>
              <w:jc w:val="left"/>
              <w:rPr>
                <w:rFonts w:eastAsia="MS Gothic"/>
                <w:b/>
              </w:rPr>
            </w:pPr>
          </w:p>
        </w:tc>
        <w:tc>
          <w:tcPr>
            <w:tcW w:w="732" w:type="dxa"/>
            <w:gridSpan w:val="4"/>
            <w:shd w:val="clear" w:color="auto" w:fill="FFFFFF" w:themeFill="background1"/>
          </w:tcPr>
          <w:p w14:paraId="37BCB64E" w14:textId="77777777" w:rsidR="00BB359B" w:rsidRPr="003A1C01" w:rsidRDefault="00BB359B" w:rsidP="00681ABF">
            <w:pPr>
              <w:pStyle w:val="BodyText"/>
              <w:spacing w:after="0"/>
              <w:jc w:val="left"/>
              <w:rPr>
                <w:noProof/>
                <w:lang w:eastAsia="en-GB"/>
              </w:rPr>
            </w:pPr>
          </w:p>
        </w:tc>
        <w:tc>
          <w:tcPr>
            <w:tcW w:w="8058" w:type="dxa"/>
            <w:gridSpan w:val="8"/>
            <w:shd w:val="clear" w:color="auto" w:fill="FFFFFF" w:themeFill="background1"/>
          </w:tcPr>
          <w:p w14:paraId="5DAAA135" w14:textId="77777777" w:rsidR="00BB359B" w:rsidRDefault="00BB359B" w:rsidP="00681ABF">
            <w:pPr>
              <w:spacing w:line="256" w:lineRule="auto"/>
              <w:rPr>
                <w:rFonts w:ascii="Calibri" w:hAnsi="Calibri" w:cs="Calibri"/>
                <w:i/>
                <w:iCs/>
                <w:noProof/>
                <w:sz w:val="18"/>
              </w:rPr>
            </w:pPr>
          </w:p>
        </w:tc>
      </w:tr>
      <w:tr w:rsidR="009600CF" w14:paraId="4114F033" w14:textId="77777777" w:rsidTr="00681ABF">
        <w:trPr>
          <w:trHeight w:val="1960"/>
        </w:trPr>
        <w:tc>
          <w:tcPr>
            <w:tcW w:w="1984" w:type="dxa"/>
            <w:shd w:val="clear" w:color="auto" w:fill="F2F2F2" w:themeFill="background1" w:themeFillShade="F2"/>
          </w:tcPr>
          <w:p w14:paraId="25750160" w14:textId="34D2E33D" w:rsidR="00E96FBB" w:rsidRDefault="00E96FBB" w:rsidP="00F167F7">
            <w:pPr>
              <w:pStyle w:val="BodyText"/>
              <w:spacing w:before="120" w:after="120"/>
              <w:jc w:val="left"/>
              <w:rPr>
                <w:rFonts w:eastAsia="MS Gothic"/>
                <w:b/>
                <w:sz w:val="18"/>
                <w:szCs w:val="18"/>
              </w:rPr>
            </w:pPr>
            <w:r w:rsidRPr="00E96FBB">
              <w:rPr>
                <w:rFonts w:eastAsia="MS Gothic" w:cs="Arial"/>
                <w:sz w:val="18"/>
                <w:szCs w:val="18"/>
                <w:lang w:val="en-GB"/>
              </w:rPr>
              <w:t xml:space="preserve">To comply with the EU Taxonomy, the criteria for </w:t>
            </w:r>
            <w:r w:rsidRPr="00E96FBB">
              <w:rPr>
                <w:rFonts w:eastAsia="MS Gothic" w:cs="Arial"/>
                <w:b/>
                <w:sz w:val="18"/>
                <w:szCs w:val="18"/>
                <w:lang w:val="en-GB"/>
              </w:rPr>
              <w:t>fossil gas</w:t>
            </w:r>
            <w:r w:rsidRPr="00E96FBB">
              <w:rPr>
                <w:rFonts w:eastAsia="MS Gothic" w:cs="Arial"/>
                <w:sz w:val="18"/>
                <w:szCs w:val="18"/>
                <w:lang w:val="en-GB"/>
              </w:rPr>
              <w:t xml:space="preserve"> include limitations on emissions and switching to renewable power or low-carbon fuels by the end of 2035. For </w:t>
            </w:r>
            <w:r w:rsidRPr="00E96FBB">
              <w:rPr>
                <w:rFonts w:eastAsia="MS Gothic" w:cs="Arial"/>
                <w:b/>
                <w:sz w:val="18"/>
                <w:szCs w:val="18"/>
                <w:lang w:val="en-GB"/>
              </w:rPr>
              <w:t>nuclear energy</w:t>
            </w:r>
            <w:r w:rsidRPr="00E96FBB">
              <w:rPr>
                <w:rFonts w:eastAsia="MS Gothic" w:cs="Arial"/>
                <w:sz w:val="18"/>
                <w:szCs w:val="18"/>
                <w:lang w:val="en-GB"/>
              </w:rPr>
              <w:t xml:space="preserve">, the </w:t>
            </w:r>
            <w:r w:rsidRPr="00E96FBB">
              <w:rPr>
                <w:rFonts w:eastAsia="MS Gothic" w:cs="Arial"/>
                <w:sz w:val="18"/>
                <w:szCs w:val="18"/>
                <w:lang w:val="en-GB"/>
              </w:rPr>
              <w:lastRenderedPageBreak/>
              <w:t>criteria include comprehensive safety and waste management rules.</w:t>
            </w:r>
          </w:p>
          <w:p w14:paraId="14B64908" w14:textId="7C3557C4" w:rsidR="009600CF" w:rsidRDefault="00BB359B" w:rsidP="00F167F7">
            <w:pPr>
              <w:pStyle w:val="BodyText"/>
              <w:spacing w:before="120" w:after="120"/>
              <w:jc w:val="left"/>
              <w:rPr>
                <w:rFonts w:eastAsia="MS Gothic"/>
                <w:b/>
                <w:sz w:val="18"/>
                <w:szCs w:val="18"/>
              </w:rPr>
            </w:pPr>
            <w:r w:rsidRPr="00B62017">
              <w:rPr>
                <w:rFonts w:eastAsia="MS Gothic"/>
                <w:b/>
                <w:sz w:val="18"/>
                <w:szCs w:val="18"/>
              </w:rPr>
              <w:t>Enabling activities</w:t>
            </w:r>
            <w:r w:rsidRPr="00B62017">
              <w:rPr>
                <w:rFonts w:eastAsia="MS Gothic"/>
                <w:sz w:val="18"/>
                <w:szCs w:val="18"/>
              </w:rPr>
              <w:t xml:space="preserve"> directly enable other activities to make a substantial contribution to an environmental objective.</w:t>
            </w:r>
          </w:p>
          <w:p w14:paraId="4BF08E03" w14:textId="2955B4BE" w:rsidR="009600CF" w:rsidRPr="00C77334" w:rsidRDefault="009600CF" w:rsidP="00F167F7">
            <w:pPr>
              <w:pStyle w:val="BodyText"/>
              <w:spacing w:before="120" w:after="120"/>
              <w:jc w:val="left"/>
              <w:rPr>
                <w:rFonts w:eastAsia="MS Gothic"/>
                <w:b/>
                <w:sz w:val="18"/>
                <w:szCs w:val="18"/>
              </w:rPr>
            </w:pPr>
            <w:r w:rsidRPr="00C77334">
              <w:rPr>
                <w:rFonts w:eastAsia="MS Gothic"/>
                <w:b/>
                <w:sz w:val="18"/>
                <w:szCs w:val="18"/>
              </w:rPr>
              <w:t>Transitional activities</w:t>
            </w:r>
            <w:r w:rsidRPr="00C77334">
              <w:rPr>
                <w:rFonts w:eastAsia="MS Gothic"/>
                <w:sz w:val="18"/>
                <w:szCs w:val="18"/>
              </w:rPr>
              <w:t xml:space="preserve"> are activities for which low-carbon alternatives are not yet available and among others have greenhouse gas emission </w:t>
            </w:r>
            <w:r w:rsidR="006D46C6" w:rsidRPr="00C77334">
              <w:rPr>
                <w:rFonts w:eastAsia="MS Gothic"/>
                <w:sz w:val="18"/>
                <w:szCs w:val="18"/>
              </w:rPr>
              <w:t>levels corresponding</w:t>
            </w:r>
            <w:r w:rsidRPr="00C77334">
              <w:rPr>
                <w:rFonts w:eastAsia="MS Gothic"/>
                <w:sz w:val="18"/>
                <w:szCs w:val="18"/>
              </w:rPr>
              <w:t xml:space="preserve"> to the best performance.</w:t>
            </w:r>
          </w:p>
        </w:tc>
        <w:tc>
          <w:tcPr>
            <w:tcW w:w="732" w:type="dxa"/>
            <w:gridSpan w:val="4"/>
            <w:shd w:val="clear" w:color="auto" w:fill="FFFFFF" w:themeFill="background1"/>
          </w:tcPr>
          <w:p w14:paraId="6684E45A" w14:textId="77777777" w:rsidR="009600CF" w:rsidRPr="003A1C01" w:rsidRDefault="009600CF" w:rsidP="00F167F7">
            <w:pPr>
              <w:pStyle w:val="BodyText"/>
              <w:jc w:val="left"/>
              <w:rPr>
                <w:noProof/>
                <w:lang w:eastAsia="en-GB"/>
              </w:rPr>
            </w:pPr>
          </w:p>
        </w:tc>
        <w:tc>
          <w:tcPr>
            <w:tcW w:w="8058" w:type="dxa"/>
            <w:gridSpan w:val="8"/>
            <w:shd w:val="clear" w:color="auto" w:fill="FFFFFF" w:themeFill="background1"/>
          </w:tcPr>
          <w:tbl>
            <w:tblPr>
              <w:tblStyle w:val="PlainTable11"/>
              <w:tblW w:w="7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ayout w:type="fixed"/>
              <w:tblLook w:val="04A0" w:firstRow="1" w:lastRow="0" w:firstColumn="1" w:lastColumn="0" w:noHBand="0" w:noVBand="1"/>
            </w:tblPr>
            <w:tblGrid>
              <w:gridCol w:w="3686"/>
              <w:gridCol w:w="4191"/>
            </w:tblGrid>
            <w:tr w:rsidR="009600CF" w14:paraId="14804BAB" w14:textId="77777777" w:rsidTr="00F167F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877" w:type="dxa"/>
                  <w:gridSpan w:val="2"/>
                  <w:shd w:val="clear" w:color="auto" w:fill="FAE9D7"/>
                  <w:hideMark/>
                </w:tcPr>
                <w:p w14:paraId="746DD66D" w14:textId="509726ED" w:rsidR="009600CF" w:rsidRPr="0066367F" w:rsidRDefault="009600CF" w:rsidP="00F167F7">
                  <w:pPr>
                    <w:spacing w:before="120" w:after="160" w:line="256" w:lineRule="auto"/>
                    <w:rPr>
                      <w:rFonts w:cstheme="minorHAnsi"/>
                      <w:b w:val="0"/>
                      <w:bCs w:val="0"/>
                      <w:i/>
                      <w:iCs/>
                      <w:noProof/>
                      <w:sz w:val="18"/>
                    </w:rPr>
                  </w:pPr>
                  <w:r w:rsidRPr="0066367F">
                    <w:rPr>
                      <w:rFonts w:cstheme="minorHAnsi"/>
                      <w:i/>
                      <w:iCs/>
                      <w:noProof/>
                      <w:sz w:val="18"/>
                    </w:rPr>
                    <w:t>The two graphs below show in green the minimum percentage of investments that are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r w:rsidR="006318C0" w:rsidRPr="0066367F">
                    <w:rPr>
                      <w:rFonts w:cstheme="minorHAnsi"/>
                      <w:i/>
                      <w:iCs/>
                      <w:noProof/>
                      <w:sz w:val="18"/>
                    </w:rPr>
                    <w:t xml:space="preserve">  </w:t>
                  </w:r>
                </w:p>
                <w:p w14:paraId="133933AE" w14:textId="58EFF835" w:rsidR="00BB359B" w:rsidRPr="0066367F" w:rsidRDefault="00BB359B" w:rsidP="0066367F">
                  <w:pPr>
                    <w:spacing w:before="120" w:after="160" w:line="256" w:lineRule="auto"/>
                    <w:rPr>
                      <w:rFonts w:eastAsia="Calibri" w:cstheme="minorHAnsi"/>
                      <w:b w:val="0"/>
                      <w:i/>
                      <w:iCs/>
                      <w:noProof/>
                      <w:color w:val="FAE9D7"/>
                      <w:sz w:val="18"/>
                      <w:szCs w:val="22"/>
                    </w:rPr>
                  </w:pPr>
                </w:p>
              </w:tc>
            </w:tr>
            <w:tr w:rsidR="009600CF" w:rsidRPr="00965A52" w14:paraId="6863CA90" w14:textId="77777777" w:rsidTr="003A2EA5">
              <w:trPr>
                <w:cnfStyle w:val="000000100000" w:firstRow="0" w:lastRow="0" w:firstColumn="0" w:lastColumn="0" w:oddVBand="0" w:evenVBand="0" w:oddHBand="1" w:evenHBand="0" w:firstRowFirstColumn="0" w:firstRowLastColumn="0" w:lastRowFirstColumn="0" w:lastRowLastColumn="0"/>
                <w:trHeight w:val="3835"/>
              </w:trPr>
              <w:tc>
                <w:tcPr>
                  <w:cnfStyle w:val="001000000000" w:firstRow="0" w:lastRow="0" w:firstColumn="1" w:lastColumn="0" w:oddVBand="0" w:evenVBand="0" w:oddHBand="0" w:evenHBand="0" w:firstRowFirstColumn="0" w:firstRowLastColumn="0" w:lastRowFirstColumn="0" w:lastRowLastColumn="0"/>
                  <w:tcW w:w="3686" w:type="dxa"/>
                  <w:shd w:val="clear" w:color="auto" w:fill="FAE9D7"/>
                  <w:hideMark/>
                </w:tcPr>
                <w:p w14:paraId="18E38E1B" w14:textId="6D7B9842" w:rsidR="009600CF" w:rsidRPr="0066367F" w:rsidRDefault="004D44EF" w:rsidP="00F167F7">
                  <w:pPr>
                    <w:rPr>
                      <w:rFonts w:ascii="Calibri" w:hAnsi="Calibri"/>
                      <w:b w:val="0"/>
                      <w:bCs w:val="0"/>
                      <w:noProof/>
                      <w:sz w:val="18"/>
                    </w:rPr>
                  </w:pPr>
                  <w:r w:rsidRPr="0066367F">
                    <w:rPr>
                      <w:rFonts w:ascii="Calibri" w:hAnsi="Calibri"/>
                      <w:noProof/>
                      <w:sz w:val="18"/>
                      <w:lang w:val="en-GB" w:eastAsia="en-GB"/>
                    </w:rPr>
                    <w:lastRenderedPageBreak/>
                    <w:drawing>
                      <wp:inline distT="0" distB="0" distL="0" distR="0" wp14:anchorId="398CFF8F" wp14:editId="562B9A4C">
                        <wp:extent cx="2506980" cy="2057400"/>
                        <wp:effectExtent l="0" t="0" r="762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4191" w:type="dxa"/>
                  <w:shd w:val="clear" w:color="auto" w:fill="FAE9D7"/>
                </w:tcPr>
                <w:p w14:paraId="6CCF5103" w14:textId="17EDD308" w:rsidR="009600CF" w:rsidRPr="0066367F" w:rsidRDefault="003A2EA5" w:rsidP="00F167F7">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sz w:val="18"/>
                      <w:szCs w:val="22"/>
                      <w:u w:val="single"/>
                    </w:rPr>
                  </w:pPr>
                  <w:r w:rsidRPr="0066367F">
                    <w:rPr>
                      <w:rFonts w:ascii="Times New Roman" w:eastAsia="Arial" w:hAnsi="Times New Roman"/>
                      <w:noProof/>
                      <w:lang w:val="en-GB" w:eastAsia="en-GB"/>
                    </w:rPr>
                    <mc:AlternateContent>
                      <mc:Choice Requires="wps">
                        <w:drawing>
                          <wp:anchor distT="45720" distB="45720" distL="114300" distR="114300" simplePos="0" relativeHeight="251695104" behindDoc="0" locked="0" layoutInCell="1" allowOverlap="1" wp14:anchorId="19C596E7" wp14:editId="35883685">
                            <wp:simplePos x="0" y="0"/>
                            <wp:positionH relativeFrom="column">
                              <wp:posOffset>5080</wp:posOffset>
                            </wp:positionH>
                            <wp:positionV relativeFrom="paragraph">
                              <wp:posOffset>2055055</wp:posOffset>
                            </wp:positionV>
                            <wp:extent cx="2523490" cy="215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15900"/>
                                    </a:xfrm>
                                    <a:prstGeom prst="rect">
                                      <a:avLst/>
                                    </a:prstGeom>
                                    <a:solidFill>
                                      <a:srgbClr val="FFFFFF"/>
                                    </a:solidFill>
                                    <a:ln w="9525">
                                      <a:noFill/>
                                      <a:miter lim="800000"/>
                                      <a:headEnd/>
                                      <a:tailEnd/>
                                    </a:ln>
                                  </wps:spPr>
                                  <wps:txbx>
                                    <w:txbxContent>
                                      <w:p w14:paraId="593DF0AD" w14:textId="68466B80" w:rsidR="00DF7F67" w:rsidRDefault="00DF7F67" w:rsidP="003A2EA5">
                                        <w:pPr>
                                          <w:rPr>
                                            <w:sz w:val="14"/>
                                          </w:rPr>
                                        </w:pPr>
                                        <w:r>
                                          <w:rPr>
                                            <w:sz w:val="14"/>
                                          </w:rPr>
                                          <w:t>This graph represents 100% of the total investments.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596E7" id="_x0000_t202" coordsize="21600,21600" o:spt="202" path="m,l,21600r21600,l21600,xe">
                            <v:stroke joinstyle="miter"/>
                            <v:path gradientshapeok="t" o:connecttype="rect"/>
                          </v:shapetype>
                          <v:shape id="Text Box 2" o:spid="_x0000_s1030" type="#_x0000_t202" style="position:absolute;left:0;text-align:left;margin-left:.4pt;margin-top:161.8pt;width:198.7pt;height:1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" stroked="f">
                            <v:textbox>
                              <w:txbxContent>
                                <w:p w14:paraId="593DF0AD" w14:textId="68466B80" w:rsidR="00DF7F67" w:rsidRDefault="00DF7F67" w:rsidP="003A2EA5">
                                  <w:pPr>
                                    <w:rPr>
                                      <w:sz w:val="14"/>
                                    </w:rPr>
                                  </w:pPr>
                                  <w:r>
                                    <w:rPr>
                                      <w:sz w:val="14"/>
                                    </w:rPr>
                                    <w:t>This graph represents 100% of the total investments.</w:t>
                                  </w:r>
                                </w:p>
                              </w:txbxContent>
                            </v:textbox>
                          </v:shape>
                        </w:pict>
                      </mc:Fallback>
                    </mc:AlternateContent>
                  </w:r>
                  <w:r w:rsidR="004D44EF" w:rsidRPr="0066367F">
                    <w:rPr>
                      <w:rFonts w:ascii="Calibri" w:hAnsi="Calibri"/>
                      <w:noProof/>
                      <w:sz w:val="18"/>
                      <w:lang w:val="en-GB" w:eastAsia="en-GB"/>
                    </w:rPr>
                    <w:drawing>
                      <wp:anchor distT="0" distB="0" distL="114300" distR="114300" simplePos="0" relativeHeight="251693056" behindDoc="0" locked="0" layoutInCell="1" allowOverlap="1" wp14:anchorId="19AF6031" wp14:editId="7B9929AF">
                        <wp:simplePos x="0" y="0"/>
                        <wp:positionH relativeFrom="column">
                          <wp:posOffset>5080</wp:posOffset>
                        </wp:positionH>
                        <wp:positionV relativeFrom="paragraph">
                          <wp:posOffset>3810</wp:posOffset>
                        </wp:positionV>
                        <wp:extent cx="2523613" cy="2033929"/>
                        <wp:effectExtent l="0" t="0" r="10160" b="4445"/>
                        <wp:wrapNone/>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tc>
            </w:tr>
            <w:tr w:rsidR="009600CF" w:rsidRPr="00965A52" w14:paraId="6C0AF256" w14:textId="77777777" w:rsidTr="00F167F7">
              <w:trPr>
                <w:trHeight w:val="52"/>
              </w:trPr>
              <w:tc>
                <w:tcPr>
                  <w:cnfStyle w:val="001000000000" w:firstRow="0" w:lastRow="0" w:firstColumn="1" w:lastColumn="0" w:oddVBand="0" w:evenVBand="0" w:oddHBand="0" w:evenHBand="0" w:firstRowFirstColumn="0" w:firstRowLastColumn="0" w:lastRowFirstColumn="0" w:lastRowLastColumn="0"/>
                  <w:tcW w:w="7877" w:type="dxa"/>
                  <w:gridSpan w:val="2"/>
                  <w:shd w:val="clear" w:color="auto" w:fill="FAE9D7"/>
                </w:tcPr>
                <w:p w14:paraId="575ED47F" w14:textId="77777777" w:rsidR="009600CF" w:rsidRPr="0066367F" w:rsidRDefault="009600CF" w:rsidP="00F167F7">
                  <w:pPr>
                    <w:spacing w:after="160" w:line="256" w:lineRule="auto"/>
                    <w:ind w:left="37"/>
                    <w:rPr>
                      <w:rFonts w:ascii="Calibri" w:hAnsi="Calibri"/>
                      <w:noProof/>
                      <w:sz w:val="18"/>
                    </w:rPr>
                  </w:pPr>
                  <w:r w:rsidRPr="0066367F">
                    <w:rPr>
                      <w:rFonts w:ascii="Calibri" w:hAnsi="Calibri"/>
                      <w:b w:val="0"/>
                      <w:noProof/>
                      <w:sz w:val="18"/>
                    </w:rPr>
                    <w:t xml:space="preserve">* </w:t>
                  </w:r>
                  <w:r w:rsidRPr="0066367F">
                    <w:rPr>
                      <w:rFonts w:ascii="Calibri" w:hAnsi="Calibri" w:cs="Calibri"/>
                      <w:b w:val="0"/>
                      <w:i/>
                      <w:iCs/>
                      <w:noProof/>
                      <w:sz w:val="18"/>
                    </w:rPr>
                    <w:t>For the purpose of these graphs, ‘sovereign bonds’ consist of  all sovereign exposures</w:t>
                  </w:r>
                </w:p>
              </w:tc>
            </w:tr>
          </w:tbl>
          <w:p w14:paraId="7AFFC426" w14:textId="77777777" w:rsidR="009600CF" w:rsidRPr="00D023EB" w:rsidRDefault="009600CF" w:rsidP="00F167F7">
            <w:pPr>
              <w:pStyle w:val="BodyText"/>
              <w:spacing w:before="120" w:after="120"/>
              <w:rPr>
                <w:rFonts w:cs="Arial"/>
                <w:b/>
                <w:sz w:val="18"/>
                <w:szCs w:val="18"/>
              </w:rPr>
            </w:pPr>
          </w:p>
        </w:tc>
      </w:tr>
    </w:tbl>
    <w:p w14:paraId="5B4F9AE2" w14:textId="0B04DA9C" w:rsidR="009600CF" w:rsidRPr="005B4FF0" w:rsidRDefault="009600CF" w:rsidP="009600CF">
      <w:pPr>
        <w:rPr>
          <w:sz w:val="16"/>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78"/>
        <w:gridCol w:w="544"/>
        <w:gridCol w:w="287"/>
        <w:gridCol w:w="265"/>
        <w:gridCol w:w="7178"/>
        <w:gridCol w:w="151"/>
      </w:tblGrid>
      <w:tr w:rsidR="009600CF" w14:paraId="4435765B" w14:textId="77777777" w:rsidTr="00F167F7">
        <w:trPr>
          <w:gridAfter w:val="1"/>
          <w:wAfter w:w="151" w:type="dxa"/>
          <w:trHeight w:val="946"/>
        </w:trPr>
        <w:tc>
          <w:tcPr>
            <w:tcW w:w="2070" w:type="dxa"/>
            <w:vMerge w:val="restart"/>
            <w:shd w:val="clear" w:color="auto" w:fill="F2F2F2" w:themeFill="background1" w:themeFillShade="F2"/>
          </w:tcPr>
          <w:p w14:paraId="17F5BF73" w14:textId="77777777" w:rsidR="009600CF" w:rsidRDefault="009600CF" w:rsidP="00F167F7">
            <w:pPr>
              <w:pStyle w:val="BodyText"/>
              <w:jc w:val="left"/>
              <w:rPr>
                <w:rFonts w:ascii="MS Gothic" w:eastAsia="MS Gothic" w:hAnsi="MS Gothic"/>
              </w:rPr>
            </w:pPr>
          </w:p>
        </w:tc>
        <w:tc>
          <w:tcPr>
            <w:tcW w:w="822" w:type="dxa"/>
            <w:gridSpan w:val="2"/>
            <w:shd w:val="clear" w:color="auto" w:fill="FFFFFF" w:themeFill="background1"/>
          </w:tcPr>
          <w:p w14:paraId="49BE4F1B" w14:textId="77777777" w:rsidR="009600CF" w:rsidRPr="001A487C" w:rsidRDefault="009600CF" w:rsidP="00F167F7">
            <w:pPr>
              <w:pStyle w:val="BodyText"/>
              <w:jc w:val="left"/>
              <w:rPr>
                <w:rFonts w:eastAsia="Calibri" w:cs="Arial"/>
                <w:bCs/>
                <w:iCs/>
                <w:noProof/>
                <w:szCs w:val="22"/>
              </w:rPr>
            </w:pPr>
          </w:p>
        </w:tc>
        <w:tc>
          <w:tcPr>
            <w:tcW w:w="552" w:type="dxa"/>
            <w:gridSpan w:val="2"/>
            <w:shd w:val="clear" w:color="auto" w:fill="FFFFFF" w:themeFill="background1"/>
          </w:tcPr>
          <w:p w14:paraId="24ED9EB8" w14:textId="77777777" w:rsidR="009600CF" w:rsidRPr="001A487C" w:rsidRDefault="009600CF" w:rsidP="00A42DEF">
            <w:pPr>
              <w:pStyle w:val="Bullet1"/>
              <w:numPr>
                <w:ilvl w:val="0"/>
                <w:numId w:val="26"/>
              </w:numPr>
              <w:spacing w:before="120" w:after="120"/>
            </w:pPr>
          </w:p>
        </w:tc>
        <w:tc>
          <w:tcPr>
            <w:tcW w:w="7178" w:type="dxa"/>
            <w:shd w:val="clear" w:color="auto" w:fill="FFFFFF" w:themeFill="background1"/>
          </w:tcPr>
          <w:p w14:paraId="4AEEBF80" w14:textId="77777777" w:rsidR="009600CF" w:rsidRPr="001A487C" w:rsidRDefault="009600CF" w:rsidP="00F167F7">
            <w:pPr>
              <w:pStyle w:val="BodyText"/>
              <w:rPr>
                <w:rFonts w:cs="Arial"/>
              </w:rPr>
            </w:pPr>
            <w:r w:rsidRPr="00550824">
              <w:rPr>
                <w:rFonts w:cs="Arial"/>
                <w:b/>
                <w:i/>
              </w:rPr>
              <w:t>What is the minimum share of investments in transitional and enabling activities?</w:t>
            </w:r>
            <w:r w:rsidRPr="00472DB7">
              <w:rPr>
                <w:rFonts w:cs="Arial"/>
                <w:b/>
              </w:rPr>
              <w:t xml:space="preserve"> </w:t>
            </w:r>
          </w:p>
        </w:tc>
      </w:tr>
      <w:tr w:rsidR="009600CF" w14:paraId="5C8183AA" w14:textId="77777777" w:rsidTr="002D638B">
        <w:trPr>
          <w:trHeight w:val="429"/>
        </w:trPr>
        <w:tc>
          <w:tcPr>
            <w:tcW w:w="2070" w:type="dxa"/>
            <w:vMerge/>
            <w:shd w:val="clear" w:color="auto" w:fill="F2F2F2" w:themeFill="background1" w:themeFillShade="F2"/>
          </w:tcPr>
          <w:p w14:paraId="520A4744" w14:textId="77777777" w:rsidR="009600CF" w:rsidRPr="00B97173" w:rsidRDefault="009600CF" w:rsidP="00F167F7">
            <w:pPr>
              <w:pStyle w:val="BodyText"/>
              <w:jc w:val="left"/>
              <w:rPr>
                <w:rFonts w:eastAsia="MS Gothic"/>
                <w:i/>
                <w:color w:val="FF0000"/>
                <w:sz w:val="18"/>
              </w:rPr>
            </w:pPr>
          </w:p>
        </w:tc>
        <w:tc>
          <w:tcPr>
            <w:tcW w:w="278" w:type="dxa"/>
            <w:vMerge w:val="restart"/>
            <w:shd w:val="clear" w:color="auto" w:fill="FFFFFF" w:themeFill="background1"/>
          </w:tcPr>
          <w:p w14:paraId="6F5CDD1B" w14:textId="77777777" w:rsidR="009600CF" w:rsidRPr="001A487C" w:rsidRDefault="009600CF" w:rsidP="00F167F7">
            <w:pPr>
              <w:pStyle w:val="BodyText"/>
              <w:jc w:val="left"/>
              <w:rPr>
                <w:rFonts w:eastAsia="Calibri" w:cs="Arial"/>
                <w:bCs/>
                <w:iCs/>
                <w:noProof/>
                <w:szCs w:val="22"/>
              </w:rPr>
            </w:pPr>
          </w:p>
        </w:tc>
        <w:tc>
          <w:tcPr>
            <w:tcW w:w="831" w:type="dxa"/>
            <w:gridSpan w:val="2"/>
            <w:vMerge w:val="restart"/>
            <w:shd w:val="clear" w:color="auto" w:fill="FFFFFF" w:themeFill="background1"/>
          </w:tcPr>
          <w:p w14:paraId="589B5A1B" w14:textId="77777777" w:rsidR="009600CF" w:rsidRPr="001A487C" w:rsidRDefault="009600CF" w:rsidP="00F167F7">
            <w:pPr>
              <w:pStyle w:val="BodyText"/>
            </w:pPr>
            <w:r w:rsidRPr="003A1C01">
              <w:rPr>
                <w:rFonts w:ascii="Calibri" w:hAnsi="Calibri"/>
                <w:noProof/>
                <w:highlight w:val="yellow"/>
                <w:lang w:val="en-GB" w:eastAsia="en-GB"/>
              </w:rPr>
              <w:drawing>
                <wp:anchor distT="0" distB="0" distL="114300" distR="114300" simplePos="0" relativeHeight="251659264" behindDoc="0" locked="1" layoutInCell="1" allowOverlap="1" wp14:anchorId="7934909E" wp14:editId="709D00D2">
                  <wp:simplePos x="0" y="0"/>
                  <wp:positionH relativeFrom="margin">
                    <wp:posOffset>48260</wp:posOffset>
                  </wp:positionH>
                  <wp:positionV relativeFrom="paragraph">
                    <wp:posOffset>407670</wp:posOffset>
                  </wp:positionV>
                  <wp:extent cx="360000" cy="360000"/>
                  <wp:effectExtent l="0" t="0" r="2540" b="2540"/>
                  <wp:wrapSquare wrapText="bothSides"/>
                  <wp:docPr id="3"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tc>
        <w:tc>
          <w:tcPr>
            <w:tcW w:w="7594" w:type="dxa"/>
            <w:gridSpan w:val="3"/>
            <w:shd w:val="clear" w:color="auto" w:fill="FFFFFF" w:themeFill="background1"/>
          </w:tcPr>
          <w:p w14:paraId="5ADC9D0B" w14:textId="77777777" w:rsidR="009600CF" w:rsidRPr="005907F8" w:rsidRDefault="009600CF" w:rsidP="00F167F7">
            <w:pPr>
              <w:pStyle w:val="BodyText"/>
              <w:rPr>
                <w:rFonts w:cs="Arial"/>
                <w:sz w:val="18"/>
                <w:szCs w:val="18"/>
              </w:rPr>
            </w:pPr>
            <w:r>
              <w:rPr>
                <w:rFonts w:cs="Arial"/>
                <w:sz w:val="18"/>
                <w:szCs w:val="18"/>
              </w:rPr>
              <w:t>NA</w:t>
            </w:r>
          </w:p>
        </w:tc>
      </w:tr>
      <w:tr w:rsidR="009600CF" w14:paraId="75A8C293" w14:textId="77777777" w:rsidTr="00F167F7">
        <w:trPr>
          <w:trHeight w:val="525"/>
        </w:trPr>
        <w:tc>
          <w:tcPr>
            <w:tcW w:w="2070" w:type="dxa"/>
            <w:vMerge/>
            <w:shd w:val="clear" w:color="auto" w:fill="F2F2F2" w:themeFill="background1" w:themeFillShade="F2"/>
          </w:tcPr>
          <w:p w14:paraId="6FA4F456" w14:textId="77777777" w:rsidR="009600CF" w:rsidRPr="00B97173" w:rsidRDefault="009600CF" w:rsidP="00F167F7">
            <w:pPr>
              <w:pStyle w:val="BodyText"/>
              <w:jc w:val="left"/>
              <w:rPr>
                <w:rFonts w:eastAsia="MS Gothic"/>
                <w:i/>
                <w:color w:val="FF0000"/>
                <w:sz w:val="18"/>
              </w:rPr>
            </w:pPr>
          </w:p>
        </w:tc>
        <w:tc>
          <w:tcPr>
            <w:tcW w:w="278" w:type="dxa"/>
            <w:vMerge/>
            <w:shd w:val="clear" w:color="auto" w:fill="FFFFFF" w:themeFill="background1"/>
          </w:tcPr>
          <w:p w14:paraId="263E7072" w14:textId="77777777" w:rsidR="009600CF" w:rsidRPr="001A487C" w:rsidRDefault="009600CF" w:rsidP="00F167F7">
            <w:pPr>
              <w:pStyle w:val="BodyText"/>
              <w:jc w:val="left"/>
              <w:rPr>
                <w:rFonts w:eastAsia="Calibri" w:cs="Arial"/>
                <w:bCs/>
                <w:iCs/>
                <w:noProof/>
                <w:szCs w:val="22"/>
              </w:rPr>
            </w:pPr>
          </w:p>
        </w:tc>
        <w:tc>
          <w:tcPr>
            <w:tcW w:w="831" w:type="dxa"/>
            <w:gridSpan w:val="2"/>
            <w:vMerge/>
            <w:shd w:val="clear" w:color="auto" w:fill="FFFFFF" w:themeFill="background1"/>
          </w:tcPr>
          <w:p w14:paraId="446C79CA" w14:textId="77777777" w:rsidR="009600CF" w:rsidRPr="001A487C" w:rsidRDefault="009600CF" w:rsidP="00F167F7">
            <w:pPr>
              <w:pStyle w:val="BodyText"/>
            </w:pPr>
          </w:p>
        </w:tc>
        <w:tc>
          <w:tcPr>
            <w:tcW w:w="7594" w:type="dxa"/>
            <w:gridSpan w:val="3"/>
            <w:shd w:val="clear" w:color="auto" w:fill="FFFFFF" w:themeFill="background1"/>
          </w:tcPr>
          <w:p w14:paraId="108912F4" w14:textId="77777777" w:rsidR="009600CF" w:rsidRPr="00550824" w:rsidRDefault="009600CF" w:rsidP="00F167F7">
            <w:pPr>
              <w:pStyle w:val="BodyText"/>
              <w:spacing w:before="120" w:after="120"/>
              <w:rPr>
                <w:rFonts w:cs="Arial"/>
                <w:b/>
                <w:i/>
              </w:rPr>
            </w:pPr>
            <w:r w:rsidRPr="00BE74D6">
              <w:rPr>
                <w:rFonts w:cs="Arial"/>
                <w:b/>
              </w:rPr>
              <w:t xml:space="preserve">What is the minimum share of sustainable investments with an environmental objective that are not aligned with the EU </w:t>
            </w:r>
            <w:r w:rsidRPr="00B85648">
              <w:rPr>
                <w:rFonts w:cs="Arial"/>
                <w:b/>
              </w:rPr>
              <w:t>Taxonomy?</w:t>
            </w:r>
          </w:p>
        </w:tc>
      </w:tr>
      <w:tr w:rsidR="009600CF" w14:paraId="4011185D" w14:textId="77777777" w:rsidTr="002D638B">
        <w:trPr>
          <w:trHeight w:val="454"/>
        </w:trPr>
        <w:tc>
          <w:tcPr>
            <w:tcW w:w="2070" w:type="dxa"/>
            <w:vMerge w:val="restart"/>
            <w:shd w:val="clear" w:color="auto" w:fill="F2F2F2" w:themeFill="background1" w:themeFillShade="F2"/>
          </w:tcPr>
          <w:p w14:paraId="663D7A7C" w14:textId="77777777" w:rsidR="009600CF" w:rsidRPr="00B97173" w:rsidRDefault="009600CF" w:rsidP="00F167F7">
            <w:pPr>
              <w:pStyle w:val="BodyText"/>
              <w:jc w:val="left"/>
              <w:rPr>
                <w:rFonts w:eastAsia="MS Gothic"/>
                <w:i/>
                <w:color w:val="FF0000"/>
                <w:sz w:val="18"/>
              </w:rPr>
            </w:pPr>
            <w:r>
              <w:rPr>
                <w:noProof/>
                <w:lang w:val="en-GB" w:eastAsia="en-GB"/>
              </w:rPr>
              <w:drawing>
                <wp:anchor distT="0" distB="0" distL="114300" distR="114300" simplePos="0" relativeHeight="251672576" behindDoc="0" locked="0" layoutInCell="1" allowOverlap="1" wp14:anchorId="52356935" wp14:editId="6611E5E7">
                  <wp:simplePos x="0" y="0"/>
                  <wp:positionH relativeFrom="column">
                    <wp:posOffset>30588</wp:posOffset>
                  </wp:positionH>
                  <wp:positionV relativeFrom="paragraph">
                    <wp:posOffset>0</wp:posOffset>
                  </wp:positionV>
                  <wp:extent cx="277978" cy="264312"/>
                  <wp:effectExtent l="0" t="0" r="8255" b="2540"/>
                  <wp:wrapSquare wrapText="bothSides"/>
                  <wp:docPr id="2"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277978" cy="264312"/>
                          </a:xfrm>
                          <a:prstGeom prst="rect">
                            <a:avLst/>
                          </a:prstGeom>
                        </pic:spPr>
                      </pic:pic>
                    </a:graphicData>
                  </a:graphic>
                </wp:anchor>
              </w:drawing>
            </w:r>
            <w:r w:rsidRPr="00B97173">
              <w:t xml:space="preserve"> </w:t>
            </w:r>
            <w:r w:rsidRPr="00C77334">
              <w:rPr>
                <w:sz w:val="18"/>
                <w:szCs w:val="18"/>
              </w:rPr>
              <w:t xml:space="preserve">are </w:t>
            </w:r>
            <w:r>
              <w:rPr>
                <w:sz w:val="18"/>
                <w:szCs w:val="18"/>
              </w:rPr>
              <w:br/>
            </w:r>
            <w:r w:rsidRPr="00C77334">
              <w:rPr>
                <w:sz w:val="18"/>
                <w:szCs w:val="18"/>
              </w:rPr>
              <w:t xml:space="preserve">sustainable investments with an environmental objective that </w:t>
            </w:r>
            <w:r w:rsidRPr="00C77334">
              <w:rPr>
                <w:b/>
                <w:sz w:val="18"/>
                <w:szCs w:val="18"/>
              </w:rPr>
              <w:t xml:space="preserve">do </w:t>
            </w:r>
            <w:r>
              <w:rPr>
                <w:b/>
                <w:sz w:val="18"/>
                <w:szCs w:val="18"/>
              </w:rPr>
              <w:br/>
            </w:r>
            <w:r w:rsidRPr="00C77334">
              <w:rPr>
                <w:b/>
                <w:sz w:val="18"/>
                <w:szCs w:val="18"/>
              </w:rPr>
              <w:t xml:space="preserve">not take into </w:t>
            </w:r>
            <w:r>
              <w:rPr>
                <w:b/>
                <w:sz w:val="18"/>
                <w:szCs w:val="18"/>
              </w:rPr>
              <w:br/>
            </w:r>
            <w:r w:rsidRPr="00C77334">
              <w:rPr>
                <w:b/>
                <w:sz w:val="18"/>
                <w:szCs w:val="18"/>
              </w:rPr>
              <w:t>account the criteria</w:t>
            </w:r>
            <w:r w:rsidRPr="00C77334">
              <w:rPr>
                <w:sz w:val="18"/>
                <w:szCs w:val="18"/>
              </w:rPr>
              <w:t xml:space="preserve"> for environmentally sustainable </w:t>
            </w:r>
            <w:r>
              <w:rPr>
                <w:sz w:val="18"/>
                <w:szCs w:val="18"/>
              </w:rPr>
              <w:br/>
            </w:r>
            <w:r w:rsidRPr="00C77334">
              <w:rPr>
                <w:sz w:val="18"/>
                <w:szCs w:val="18"/>
              </w:rPr>
              <w:t>economic activities under the EU Taxonomy.</w:t>
            </w:r>
          </w:p>
        </w:tc>
        <w:tc>
          <w:tcPr>
            <w:tcW w:w="1109" w:type="dxa"/>
            <w:gridSpan w:val="3"/>
            <w:shd w:val="clear" w:color="auto" w:fill="FFFFFF" w:themeFill="background1"/>
          </w:tcPr>
          <w:p w14:paraId="5F90D544" w14:textId="77777777" w:rsidR="009600CF" w:rsidRPr="001A487C" w:rsidRDefault="009600CF" w:rsidP="00F167F7">
            <w:pPr>
              <w:pStyle w:val="BodyText"/>
            </w:pPr>
          </w:p>
        </w:tc>
        <w:tc>
          <w:tcPr>
            <w:tcW w:w="7594" w:type="dxa"/>
            <w:gridSpan w:val="3"/>
            <w:shd w:val="clear" w:color="auto" w:fill="FFFFFF" w:themeFill="background1"/>
          </w:tcPr>
          <w:p w14:paraId="525272F6" w14:textId="77777777" w:rsidR="009600CF" w:rsidRPr="007B198D" w:rsidRDefault="009600CF" w:rsidP="00F167F7">
            <w:pPr>
              <w:pStyle w:val="BodyText"/>
              <w:spacing w:after="120"/>
              <w:rPr>
                <w:rFonts w:cs="Arial"/>
                <w:sz w:val="18"/>
                <w:szCs w:val="18"/>
              </w:rPr>
            </w:pPr>
            <w:r w:rsidRPr="007B198D">
              <w:rPr>
                <w:rFonts w:cs="Arial"/>
                <w:sz w:val="18"/>
                <w:szCs w:val="18"/>
              </w:rPr>
              <w:t>NA</w:t>
            </w:r>
          </w:p>
        </w:tc>
      </w:tr>
      <w:tr w:rsidR="009600CF" w14:paraId="57C43200" w14:textId="77777777" w:rsidTr="00F167F7">
        <w:trPr>
          <w:trHeight w:val="996"/>
        </w:trPr>
        <w:tc>
          <w:tcPr>
            <w:tcW w:w="2070" w:type="dxa"/>
            <w:vMerge/>
            <w:shd w:val="clear" w:color="auto" w:fill="F2F2F2" w:themeFill="background1" w:themeFillShade="F2"/>
          </w:tcPr>
          <w:p w14:paraId="6AE08F2F" w14:textId="77777777" w:rsidR="009600CF" w:rsidRPr="00B97173" w:rsidRDefault="009600CF" w:rsidP="00F167F7">
            <w:pPr>
              <w:pStyle w:val="BodyText"/>
              <w:jc w:val="left"/>
              <w:rPr>
                <w:rFonts w:eastAsia="MS Gothic"/>
                <w:i/>
                <w:color w:val="FF0000"/>
                <w:sz w:val="18"/>
              </w:rPr>
            </w:pPr>
          </w:p>
        </w:tc>
        <w:tc>
          <w:tcPr>
            <w:tcW w:w="278" w:type="dxa"/>
            <w:vMerge w:val="restart"/>
            <w:shd w:val="clear" w:color="auto" w:fill="FFFFFF" w:themeFill="background1"/>
          </w:tcPr>
          <w:p w14:paraId="43E1F164" w14:textId="77777777" w:rsidR="009600CF" w:rsidRPr="001A487C" w:rsidRDefault="009600CF" w:rsidP="00F167F7">
            <w:pPr>
              <w:pStyle w:val="BodyText"/>
              <w:jc w:val="left"/>
              <w:rPr>
                <w:rFonts w:eastAsia="Calibri" w:cs="Arial"/>
                <w:bCs/>
                <w:iCs/>
                <w:noProof/>
                <w:szCs w:val="22"/>
              </w:rPr>
            </w:pPr>
          </w:p>
        </w:tc>
        <w:tc>
          <w:tcPr>
            <w:tcW w:w="831" w:type="dxa"/>
            <w:gridSpan w:val="2"/>
            <w:vMerge w:val="restart"/>
            <w:shd w:val="clear" w:color="auto" w:fill="FFFFFF" w:themeFill="background1"/>
          </w:tcPr>
          <w:p w14:paraId="4DF651C9" w14:textId="77777777" w:rsidR="009600CF" w:rsidRPr="001A487C" w:rsidRDefault="009600CF" w:rsidP="00F167F7">
            <w:pPr>
              <w:pStyle w:val="BodyText"/>
            </w:pPr>
            <w:r>
              <w:rPr>
                <w:noProof/>
                <w:lang w:val="en-GB" w:eastAsia="en-GB"/>
              </w:rPr>
              <w:drawing>
                <wp:anchor distT="0" distB="0" distL="114300" distR="114300" simplePos="0" relativeHeight="251660288" behindDoc="0" locked="1" layoutInCell="1" allowOverlap="1" wp14:anchorId="57ADABFA" wp14:editId="3CAB8697">
                  <wp:simplePos x="0" y="0"/>
                  <wp:positionH relativeFrom="column">
                    <wp:posOffset>48399</wp:posOffset>
                  </wp:positionH>
                  <wp:positionV relativeFrom="paragraph">
                    <wp:posOffset>36876</wp:posOffset>
                  </wp:positionV>
                  <wp:extent cx="360000" cy="360000"/>
                  <wp:effectExtent l="0" t="0" r="2540" b="2540"/>
                  <wp:wrapSquare wrapText="bothSides"/>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tc>
        <w:tc>
          <w:tcPr>
            <w:tcW w:w="7594" w:type="dxa"/>
            <w:gridSpan w:val="3"/>
            <w:shd w:val="clear" w:color="auto" w:fill="FFFFFF" w:themeFill="background1"/>
          </w:tcPr>
          <w:p w14:paraId="7DAC584B" w14:textId="77777777" w:rsidR="009600CF" w:rsidRPr="00550824" w:rsidRDefault="009600CF" w:rsidP="00F167F7">
            <w:pPr>
              <w:pStyle w:val="BodyText"/>
              <w:spacing w:before="120"/>
              <w:rPr>
                <w:rFonts w:cs="Arial"/>
                <w:b/>
                <w:i/>
              </w:rPr>
            </w:pPr>
            <w:r w:rsidRPr="00CF16F0">
              <w:rPr>
                <w:rFonts w:cs="Arial"/>
                <w:b/>
              </w:rPr>
              <w:t>What is the minimum share of socially sustainable investments?</w:t>
            </w:r>
            <w:r w:rsidRPr="00CF16F0">
              <w:rPr>
                <w:rFonts w:cs="Arial"/>
              </w:rPr>
              <w:t xml:space="preserve"> </w:t>
            </w:r>
          </w:p>
        </w:tc>
      </w:tr>
      <w:tr w:rsidR="009600CF" w14:paraId="40ACB624" w14:textId="77777777" w:rsidTr="002D638B">
        <w:trPr>
          <w:trHeight w:val="454"/>
        </w:trPr>
        <w:tc>
          <w:tcPr>
            <w:tcW w:w="2070" w:type="dxa"/>
            <w:vMerge/>
            <w:shd w:val="clear" w:color="auto" w:fill="F2F2F2" w:themeFill="background1" w:themeFillShade="F2"/>
          </w:tcPr>
          <w:p w14:paraId="1CBF147A" w14:textId="77777777" w:rsidR="009600CF" w:rsidRPr="00B97173" w:rsidRDefault="009600CF" w:rsidP="00F167F7">
            <w:pPr>
              <w:pStyle w:val="BodyText"/>
              <w:jc w:val="left"/>
              <w:rPr>
                <w:rFonts w:eastAsia="MS Gothic"/>
                <w:i/>
                <w:color w:val="FF0000"/>
                <w:sz w:val="18"/>
              </w:rPr>
            </w:pPr>
          </w:p>
        </w:tc>
        <w:tc>
          <w:tcPr>
            <w:tcW w:w="278" w:type="dxa"/>
            <w:vMerge/>
            <w:shd w:val="clear" w:color="auto" w:fill="FFFFFF" w:themeFill="background1"/>
          </w:tcPr>
          <w:p w14:paraId="69814411" w14:textId="77777777" w:rsidR="009600CF" w:rsidRPr="001A487C" w:rsidRDefault="009600CF" w:rsidP="00F167F7">
            <w:pPr>
              <w:pStyle w:val="BodyText"/>
              <w:jc w:val="left"/>
              <w:rPr>
                <w:rFonts w:eastAsia="Calibri" w:cs="Arial"/>
                <w:bCs/>
                <w:iCs/>
                <w:noProof/>
                <w:szCs w:val="22"/>
              </w:rPr>
            </w:pPr>
          </w:p>
        </w:tc>
        <w:tc>
          <w:tcPr>
            <w:tcW w:w="831" w:type="dxa"/>
            <w:gridSpan w:val="2"/>
            <w:vMerge/>
            <w:shd w:val="clear" w:color="auto" w:fill="FFFFFF" w:themeFill="background1"/>
          </w:tcPr>
          <w:p w14:paraId="1F1D1F69" w14:textId="77777777" w:rsidR="009600CF" w:rsidRPr="001A487C" w:rsidRDefault="009600CF" w:rsidP="00F167F7">
            <w:pPr>
              <w:pStyle w:val="BodyText"/>
            </w:pPr>
          </w:p>
        </w:tc>
        <w:tc>
          <w:tcPr>
            <w:tcW w:w="7594" w:type="dxa"/>
            <w:gridSpan w:val="3"/>
            <w:shd w:val="clear" w:color="auto" w:fill="FFFFFF" w:themeFill="background1"/>
          </w:tcPr>
          <w:p w14:paraId="3B4AD3D0" w14:textId="77777777" w:rsidR="009600CF" w:rsidRPr="00A706AC" w:rsidRDefault="009600CF" w:rsidP="00F167F7">
            <w:pPr>
              <w:pStyle w:val="BodyText"/>
              <w:rPr>
                <w:rFonts w:cs="Arial"/>
              </w:rPr>
            </w:pPr>
            <w:r>
              <w:rPr>
                <w:rFonts w:cs="Arial"/>
              </w:rPr>
              <w:t>NA</w:t>
            </w:r>
          </w:p>
        </w:tc>
      </w:tr>
      <w:tr w:rsidR="009600CF" w14:paraId="24C32E33" w14:textId="77777777" w:rsidTr="00F167F7">
        <w:trPr>
          <w:trHeight w:val="107"/>
        </w:trPr>
        <w:tc>
          <w:tcPr>
            <w:tcW w:w="2070" w:type="dxa"/>
            <w:vMerge/>
            <w:shd w:val="clear" w:color="auto" w:fill="F2F2F2" w:themeFill="background1" w:themeFillShade="F2"/>
          </w:tcPr>
          <w:p w14:paraId="3CD46C47" w14:textId="77777777" w:rsidR="009600CF" w:rsidRDefault="009600CF" w:rsidP="00F167F7">
            <w:pPr>
              <w:pStyle w:val="BodyText"/>
              <w:jc w:val="left"/>
              <w:rPr>
                <w:rFonts w:ascii="MS Gothic" w:eastAsia="MS Gothic" w:hAnsi="MS Gothic"/>
              </w:rPr>
            </w:pPr>
          </w:p>
        </w:tc>
        <w:tc>
          <w:tcPr>
            <w:tcW w:w="278" w:type="dxa"/>
            <w:shd w:val="clear" w:color="auto" w:fill="FFFFFF" w:themeFill="background1"/>
          </w:tcPr>
          <w:p w14:paraId="3C4ABA88" w14:textId="77777777" w:rsidR="009600CF" w:rsidRPr="001A487C" w:rsidRDefault="009600CF" w:rsidP="00F167F7">
            <w:pPr>
              <w:pStyle w:val="BodyText"/>
              <w:jc w:val="left"/>
              <w:rPr>
                <w:rFonts w:eastAsia="Calibri" w:cs="Arial"/>
                <w:bCs/>
                <w:iCs/>
                <w:noProof/>
                <w:szCs w:val="22"/>
              </w:rPr>
            </w:pPr>
          </w:p>
        </w:tc>
        <w:tc>
          <w:tcPr>
            <w:tcW w:w="831" w:type="dxa"/>
            <w:gridSpan w:val="2"/>
            <w:vMerge w:val="restart"/>
            <w:shd w:val="clear" w:color="auto" w:fill="FFFFFF" w:themeFill="background1"/>
          </w:tcPr>
          <w:p w14:paraId="19E2CBF9" w14:textId="77777777" w:rsidR="009600CF" w:rsidRPr="001A487C" w:rsidRDefault="009600CF" w:rsidP="00F167F7">
            <w:pPr>
              <w:pStyle w:val="BodyText"/>
            </w:pPr>
            <w:r w:rsidRPr="00A87EAE">
              <w:rPr>
                <w:rFonts w:ascii="Calibri" w:eastAsia="Calibri" w:hAnsi="Calibri"/>
                <w:b/>
                <w:bCs/>
                <w:noProof/>
                <w:sz w:val="24"/>
                <w:lang w:val="en-GB" w:eastAsia="en-GB"/>
              </w:rPr>
              <w:drawing>
                <wp:anchor distT="0" distB="0" distL="114300" distR="114300" simplePos="0" relativeHeight="251661312" behindDoc="0" locked="1" layoutInCell="1" allowOverlap="1" wp14:anchorId="1B57107F" wp14:editId="7620901B">
                  <wp:simplePos x="0" y="0"/>
                  <wp:positionH relativeFrom="column">
                    <wp:posOffset>48399</wp:posOffset>
                  </wp:positionH>
                  <wp:positionV relativeFrom="paragraph">
                    <wp:posOffset>604</wp:posOffset>
                  </wp:positionV>
                  <wp:extent cx="360000" cy="360000"/>
                  <wp:effectExtent l="0" t="0" r="2540" b="2540"/>
                  <wp:wrapSquare wrapText="bothSides"/>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tc>
        <w:tc>
          <w:tcPr>
            <w:tcW w:w="7594" w:type="dxa"/>
            <w:gridSpan w:val="3"/>
            <w:shd w:val="clear" w:color="auto" w:fill="FFFFFF" w:themeFill="background1"/>
          </w:tcPr>
          <w:p w14:paraId="2CB7DDC2" w14:textId="77777777" w:rsidR="009600CF" w:rsidRPr="00472DB7" w:rsidRDefault="009600CF" w:rsidP="00F167F7">
            <w:pPr>
              <w:pStyle w:val="BodyText"/>
              <w:spacing w:before="120" w:after="120"/>
              <w:jc w:val="left"/>
              <w:rPr>
                <w:rFonts w:cs="Arial"/>
                <w:b/>
              </w:rPr>
            </w:pPr>
            <w:r w:rsidRPr="00CF16F0">
              <w:rPr>
                <w:rFonts w:cs="Arial"/>
                <w:b/>
              </w:rPr>
              <w:t>What investments are included under “#2 Other”, what is their purpose and are there any minimum environmental or social safeguards?</w:t>
            </w:r>
          </w:p>
        </w:tc>
      </w:tr>
      <w:tr w:rsidR="009600CF" w14:paraId="0DE3CCAA" w14:textId="77777777" w:rsidTr="002D638B">
        <w:trPr>
          <w:trHeight w:val="454"/>
        </w:trPr>
        <w:tc>
          <w:tcPr>
            <w:tcW w:w="2070" w:type="dxa"/>
            <w:vMerge/>
            <w:shd w:val="clear" w:color="auto" w:fill="F2F2F2" w:themeFill="background1" w:themeFillShade="F2"/>
          </w:tcPr>
          <w:p w14:paraId="6ED02262" w14:textId="77777777" w:rsidR="009600CF" w:rsidRDefault="009600CF" w:rsidP="00F167F7">
            <w:pPr>
              <w:pStyle w:val="BodyText"/>
              <w:jc w:val="left"/>
              <w:rPr>
                <w:rFonts w:ascii="MS Gothic" w:eastAsia="MS Gothic" w:hAnsi="MS Gothic"/>
              </w:rPr>
            </w:pPr>
          </w:p>
        </w:tc>
        <w:tc>
          <w:tcPr>
            <w:tcW w:w="278" w:type="dxa"/>
            <w:shd w:val="clear" w:color="auto" w:fill="FFFFFF" w:themeFill="background1"/>
          </w:tcPr>
          <w:p w14:paraId="41C3EADC" w14:textId="77777777" w:rsidR="009600CF" w:rsidRPr="001A487C" w:rsidRDefault="009600CF" w:rsidP="00F167F7">
            <w:pPr>
              <w:pStyle w:val="BodyText"/>
              <w:jc w:val="left"/>
              <w:rPr>
                <w:rFonts w:eastAsia="Calibri" w:cs="Arial"/>
                <w:bCs/>
                <w:iCs/>
                <w:noProof/>
                <w:szCs w:val="22"/>
              </w:rPr>
            </w:pPr>
          </w:p>
        </w:tc>
        <w:tc>
          <w:tcPr>
            <w:tcW w:w="831" w:type="dxa"/>
            <w:gridSpan w:val="2"/>
            <w:vMerge/>
            <w:shd w:val="clear" w:color="auto" w:fill="FFFFFF" w:themeFill="background1"/>
          </w:tcPr>
          <w:p w14:paraId="1415CB12" w14:textId="77777777" w:rsidR="009600CF" w:rsidRPr="001A487C" w:rsidRDefault="009600CF" w:rsidP="00A42DEF">
            <w:pPr>
              <w:pStyle w:val="Bullet1"/>
              <w:numPr>
                <w:ilvl w:val="0"/>
                <w:numId w:val="26"/>
              </w:numPr>
              <w:spacing w:before="120" w:after="120"/>
            </w:pPr>
          </w:p>
        </w:tc>
        <w:tc>
          <w:tcPr>
            <w:tcW w:w="7594" w:type="dxa"/>
            <w:gridSpan w:val="3"/>
            <w:shd w:val="clear" w:color="auto" w:fill="FFFFFF" w:themeFill="background1"/>
          </w:tcPr>
          <w:p w14:paraId="231C4084" w14:textId="3AFB1BE9" w:rsidR="009600CF" w:rsidRPr="007F19C1" w:rsidRDefault="009600CF" w:rsidP="00F167F7">
            <w:pPr>
              <w:pStyle w:val="Bullet1"/>
              <w:tabs>
                <w:tab w:val="clear" w:pos="709"/>
              </w:tabs>
              <w:ind w:left="0" w:firstLine="0"/>
            </w:pPr>
            <w:r>
              <w:t>Investments that are currently difficult to categorise such as cash and other liquid ancillary assets or investments for hedging or efficient portfolio management purposes are placed in “#2 Other” and are they are there to assist in achieving the financial long-term goals of the financial product. There are no minimum environmental or social safeguards in respect of these assets.</w:t>
            </w:r>
          </w:p>
        </w:tc>
      </w:tr>
    </w:tbl>
    <w:p w14:paraId="772F5EE3" w14:textId="77777777" w:rsidR="009600CF" w:rsidRDefault="009600CF" w:rsidP="009600CF"/>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87"/>
        <w:gridCol w:w="567"/>
        <w:gridCol w:w="425"/>
        <w:gridCol w:w="6946"/>
      </w:tblGrid>
      <w:tr w:rsidR="009600CF" w:rsidRPr="00E36E85" w14:paraId="43C2A815" w14:textId="77777777" w:rsidTr="002D638B">
        <w:trPr>
          <w:trHeight w:val="1424"/>
        </w:trPr>
        <w:tc>
          <w:tcPr>
            <w:tcW w:w="2972" w:type="dxa"/>
            <w:gridSpan w:val="2"/>
          </w:tcPr>
          <w:p w14:paraId="6F580F17" w14:textId="77777777" w:rsidR="009600CF" w:rsidRPr="001A487C" w:rsidRDefault="009600CF" w:rsidP="00F167F7">
            <w:pPr>
              <w:pStyle w:val="BodyText"/>
              <w:jc w:val="left"/>
              <w:rPr>
                <w:rFonts w:eastAsia="Calibri" w:cs="Arial"/>
                <w:bCs/>
                <w:iCs/>
                <w:noProof/>
                <w:szCs w:val="22"/>
              </w:rPr>
            </w:pPr>
            <w:r w:rsidRPr="003A1C01">
              <w:rPr>
                <w:rFonts w:ascii="Calibri" w:hAnsi="Calibri"/>
                <w:noProof/>
                <w:lang w:val="en-GB" w:eastAsia="en-GB"/>
              </w:rPr>
              <w:drawing>
                <wp:anchor distT="0" distB="0" distL="114300" distR="114300" simplePos="0" relativeHeight="251670528" behindDoc="0" locked="1" layoutInCell="1" allowOverlap="1" wp14:anchorId="5A454FF2" wp14:editId="3018E5BC">
                  <wp:simplePos x="0" y="0"/>
                  <wp:positionH relativeFrom="column">
                    <wp:posOffset>-31</wp:posOffset>
                  </wp:positionH>
                  <wp:positionV relativeFrom="paragraph">
                    <wp:posOffset>279</wp:posOffset>
                  </wp:positionV>
                  <wp:extent cx="1706400" cy="601200"/>
                  <wp:effectExtent l="0" t="0" r="8255" b="8890"/>
                  <wp:wrapSquare wrapText="bothSides"/>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706400" cy="601200"/>
                          </a:xfrm>
                          <a:prstGeom prst="rect">
                            <a:avLst/>
                          </a:prstGeom>
                        </pic:spPr>
                      </pic:pic>
                    </a:graphicData>
                  </a:graphic>
                  <wp14:sizeRelH relativeFrom="margin">
                    <wp14:pctWidth>0</wp14:pctWidth>
                  </wp14:sizeRelH>
                  <wp14:sizeRelV relativeFrom="margin">
                    <wp14:pctHeight>0</wp14:pctHeight>
                  </wp14:sizeRelV>
                </wp:anchor>
              </w:drawing>
            </w:r>
          </w:p>
        </w:tc>
        <w:tc>
          <w:tcPr>
            <w:tcW w:w="567" w:type="dxa"/>
            <w:shd w:val="clear" w:color="auto" w:fill="FFFFFF" w:themeFill="background1"/>
          </w:tcPr>
          <w:p w14:paraId="2047E376" w14:textId="77777777" w:rsidR="009600CF" w:rsidRPr="001A487C" w:rsidRDefault="009600CF" w:rsidP="00F167F7">
            <w:pPr>
              <w:pStyle w:val="BodyText"/>
              <w:jc w:val="left"/>
              <w:rPr>
                <w:rFonts w:cs="Arial"/>
              </w:rPr>
            </w:pPr>
          </w:p>
        </w:tc>
        <w:tc>
          <w:tcPr>
            <w:tcW w:w="7371" w:type="dxa"/>
            <w:gridSpan w:val="2"/>
            <w:shd w:val="clear" w:color="auto" w:fill="FFFFFF" w:themeFill="background1"/>
          </w:tcPr>
          <w:p w14:paraId="00EDF452" w14:textId="77777777" w:rsidR="009600CF" w:rsidRPr="001A487C" w:rsidRDefault="009600CF" w:rsidP="00F167F7">
            <w:pPr>
              <w:pStyle w:val="BodyText"/>
              <w:rPr>
                <w:rFonts w:cs="Arial"/>
              </w:rPr>
            </w:pPr>
            <w:r w:rsidRPr="00BA7408">
              <w:rPr>
                <w:rFonts w:cs="Arial"/>
                <w:b/>
              </w:rPr>
              <w:t>Is a specific index designated as a reference benchmark to determine whether this financial product is aligned with the environmental and/or social characteristics that it promotes?</w:t>
            </w:r>
            <w:r w:rsidRPr="00BA7408">
              <w:rPr>
                <w:rFonts w:cs="Arial"/>
              </w:rPr>
              <w:t xml:space="preserve"> </w:t>
            </w:r>
          </w:p>
        </w:tc>
      </w:tr>
      <w:tr w:rsidR="009600CF" w14:paraId="1BB3ED45" w14:textId="77777777" w:rsidTr="002D638B">
        <w:trPr>
          <w:trHeight w:val="541"/>
        </w:trPr>
        <w:tc>
          <w:tcPr>
            <w:tcW w:w="1985" w:type="dxa"/>
            <w:vMerge w:val="restart"/>
            <w:shd w:val="clear" w:color="auto" w:fill="F2F2F2" w:themeFill="background1" w:themeFillShade="F2"/>
          </w:tcPr>
          <w:p w14:paraId="13780EC8" w14:textId="77777777" w:rsidR="009600CF" w:rsidRPr="008F0F77" w:rsidRDefault="009600CF" w:rsidP="00F167F7">
            <w:pPr>
              <w:pStyle w:val="BodyText"/>
              <w:jc w:val="left"/>
              <w:rPr>
                <w:rFonts w:eastAsia="MS Gothic" w:cs="Arial"/>
              </w:rPr>
            </w:pPr>
            <w:r w:rsidRPr="0023290F">
              <w:rPr>
                <w:rFonts w:eastAsia="MS Gothic" w:cs="Arial"/>
                <w:b/>
                <w:sz w:val="18"/>
                <w:szCs w:val="18"/>
              </w:rPr>
              <w:t>Reference benchmarks</w:t>
            </w:r>
            <w:r w:rsidRPr="0023290F">
              <w:rPr>
                <w:rFonts w:eastAsia="MS Gothic" w:cs="Arial"/>
                <w:sz w:val="18"/>
                <w:szCs w:val="18"/>
              </w:rPr>
              <w:t xml:space="preserve"> are indexes to measure whether the financial product attains the environmental or </w:t>
            </w:r>
            <w:r w:rsidRPr="0023290F">
              <w:rPr>
                <w:rFonts w:eastAsia="MS Gothic" w:cs="Arial"/>
                <w:sz w:val="18"/>
                <w:szCs w:val="18"/>
              </w:rPr>
              <w:lastRenderedPageBreak/>
              <w:t>social characteristics that they promote.</w:t>
            </w:r>
          </w:p>
        </w:tc>
        <w:tc>
          <w:tcPr>
            <w:tcW w:w="987" w:type="dxa"/>
            <w:shd w:val="clear" w:color="auto" w:fill="FFFFFF" w:themeFill="background1"/>
          </w:tcPr>
          <w:p w14:paraId="7FDBD097"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2EDE2B11" w14:textId="77777777" w:rsidR="009600CF" w:rsidRPr="001A487C" w:rsidRDefault="009600CF" w:rsidP="00F167F7">
            <w:pPr>
              <w:pStyle w:val="BodyText"/>
              <w:jc w:val="left"/>
              <w:rPr>
                <w:rFonts w:cs="Arial"/>
              </w:rPr>
            </w:pPr>
          </w:p>
        </w:tc>
        <w:tc>
          <w:tcPr>
            <w:tcW w:w="7371" w:type="dxa"/>
            <w:gridSpan w:val="2"/>
            <w:shd w:val="clear" w:color="auto" w:fill="FFFFFF" w:themeFill="background1"/>
          </w:tcPr>
          <w:p w14:paraId="1C26E88B" w14:textId="77777777" w:rsidR="009600CF" w:rsidRPr="001A487C" w:rsidRDefault="009600CF" w:rsidP="00F167F7">
            <w:pPr>
              <w:pStyle w:val="BodyText"/>
              <w:jc w:val="left"/>
              <w:rPr>
                <w:rFonts w:cs="Arial"/>
              </w:rPr>
            </w:pPr>
            <w:r>
              <w:rPr>
                <w:rFonts w:cs="Arial"/>
              </w:rPr>
              <w:t>NA</w:t>
            </w:r>
          </w:p>
        </w:tc>
      </w:tr>
      <w:tr w:rsidR="009600CF" w14:paraId="6E70E3B2" w14:textId="77777777" w:rsidTr="00F167F7">
        <w:trPr>
          <w:trHeight w:val="541"/>
        </w:trPr>
        <w:tc>
          <w:tcPr>
            <w:tcW w:w="1985" w:type="dxa"/>
            <w:vMerge/>
            <w:shd w:val="clear" w:color="auto" w:fill="F2F2F2" w:themeFill="background1" w:themeFillShade="F2"/>
          </w:tcPr>
          <w:p w14:paraId="60A24290" w14:textId="77777777" w:rsidR="009600CF" w:rsidRDefault="009600CF" w:rsidP="00F167F7">
            <w:pPr>
              <w:pStyle w:val="BodyText"/>
              <w:jc w:val="left"/>
              <w:rPr>
                <w:rFonts w:ascii="MS Gothic" w:eastAsia="MS Gothic" w:hAnsi="MS Gothic"/>
              </w:rPr>
            </w:pPr>
          </w:p>
        </w:tc>
        <w:tc>
          <w:tcPr>
            <w:tcW w:w="987" w:type="dxa"/>
            <w:shd w:val="clear" w:color="auto" w:fill="FFFFFF" w:themeFill="background1"/>
          </w:tcPr>
          <w:p w14:paraId="4BE067A0"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7AF452BE" w14:textId="77777777" w:rsidR="009600CF" w:rsidRPr="001A487C" w:rsidRDefault="009600CF" w:rsidP="00F167F7">
            <w:pPr>
              <w:pStyle w:val="BodyText"/>
            </w:pPr>
          </w:p>
        </w:tc>
        <w:tc>
          <w:tcPr>
            <w:tcW w:w="425" w:type="dxa"/>
            <w:shd w:val="clear" w:color="auto" w:fill="FFFFFF" w:themeFill="background1"/>
          </w:tcPr>
          <w:p w14:paraId="0A173944" w14:textId="77777777" w:rsidR="009600CF" w:rsidRPr="004F7190" w:rsidRDefault="009600CF" w:rsidP="00A42DEF">
            <w:pPr>
              <w:pStyle w:val="Bullet1"/>
              <w:numPr>
                <w:ilvl w:val="0"/>
                <w:numId w:val="26"/>
              </w:numPr>
              <w:spacing w:before="120" w:after="120"/>
            </w:pPr>
          </w:p>
        </w:tc>
        <w:tc>
          <w:tcPr>
            <w:tcW w:w="6946" w:type="dxa"/>
            <w:shd w:val="clear" w:color="auto" w:fill="FFFFFF" w:themeFill="background1"/>
          </w:tcPr>
          <w:p w14:paraId="37FC8B18" w14:textId="77777777" w:rsidR="009600CF" w:rsidRPr="008F0F77" w:rsidRDefault="009600CF" w:rsidP="00F167F7">
            <w:pPr>
              <w:pStyle w:val="BodyText"/>
              <w:spacing w:before="120" w:after="120"/>
              <w:jc w:val="left"/>
              <w:rPr>
                <w:rFonts w:cs="Arial"/>
                <w:b/>
                <w:i/>
              </w:rPr>
            </w:pPr>
            <w:r w:rsidRPr="008F0F77">
              <w:rPr>
                <w:rFonts w:cs="Arial"/>
                <w:b/>
                <w:i/>
              </w:rPr>
              <w:t>How is the reference benchmark continuously aligned with each of the environmental or social characteristics promoted by the financial product?</w:t>
            </w:r>
          </w:p>
        </w:tc>
      </w:tr>
      <w:tr w:rsidR="009600CF" w14:paraId="44581A35" w14:textId="77777777" w:rsidTr="002D638B">
        <w:trPr>
          <w:trHeight w:val="541"/>
        </w:trPr>
        <w:tc>
          <w:tcPr>
            <w:tcW w:w="1985" w:type="dxa"/>
            <w:vMerge/>
            <w:shd w:val="clear" w:color="auto" w:fill="F2F2F2" w:themeFill="background1" w:themeFillShade="F2"/>
          </w:tcPr>
          <w:p w14:paraId="7BDC048B" w14:textId="77777777" w:rsidR="009600CF" w:rsidRDefault="009600CF" w:rsidP="00F167F7">
            <w:pPr>
              <w:pStyle w:val="BodyText"/>
              <w:jc w:val="left"/>
              <w:rPr>
                <w:rFonts w:ascii="MS Gothic" w:eastAsia="MS Gothic" w:hAnsi="MS Gothic"/>
              </w:rPr>
            </w:pPr>
          </w:p>
        </w:tc>
        <w:tc>
          <w:tcPr>
            <w:tcW w:w="987" w:type="dxa"/>
            <w:shd w:val="clear" w:color="auto" w:fill="FFFFFF" w:themeFill="background1"/>
          </w:tcPr>
          <w:p w14:paraId="42A74374"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25D395D4" w14:textId="77777777" w:rsidR="009600CF" w:rsidRPr="001A487C" w:rsidRDefault="009600CF" w:rsidP="00F167F7">
            <w:pPr>
              <w:pStyle w:val="BodyText"/>
              <w:rPr>
                <w:rFonts w:cs="Arial"/>
              </w:rPr>
            </w:pPr>
          </w:p>
        </w:tc>
        <w:tc>
          <w:tcPr>
            <w:tcW w:w="425" w:type="dxa"/>
            <w:shd w:val="clear" w:color="auto" w:fill="FFFFFF" w:themeFill="background1"/>
          </w:tcPr>
          <w:p w14:paraId="4127B3F1" w14:textId="77777777" w:rsidR="009600CF" w:rsidRPr="004F7190" w:rsidRDefault="009600CF" w:rsidP="00F167F7">
            <w:pPr>
              <w:pStyle w:val="BodyText"/>
              <w:jc w:val="left"/>
              <w:rPr>
                <w:rFonts w:cs="Arial"/>
              </w:rPr>
            </w:pPr>
          </w:p>
        </w:tc>
        <w:tc>
          <w:tcPr>
            <w:tcW w:w="6946" w:type="dxa"/>
            <w:shd w:val="clear" w:color="auto" w:fill="FFFFFF" w:themeFill="background1"/>
          </w:tcPr>
          <w:p w14:paraId="2B2EFACB" w14:textId="77777777" w:rsidR="009600CF" w:rsidRPr="001A487C" w:rsidRDefault="009600CF" w:rsidP="00F167F7">
            <w:pPr>
              <w:pStyle w:val="BodyText"/>
              <w:spacing w:before="120" w:after="120"/>
              <w:jc w:val="left"/>
              <w:rPr>
                <w:rFonts w:cs="Arial"/>
              </w:rPr>
            </w:pPr>
            <w:r>
              <w:rPr>
                <w:rFonts w:cs="Arial"/>
              </w:rPr>
              <w:t>NA</w:t>
            </w:r>
          </w:p>
        </w:tc>
      </w:tr>
      <w:tr w:rsidR="009600CF" w14:paraId="46CC77BC" w14:textId="77777777" w:rsidTr="00F167F7">
        <w:trPr>
          <w:trHeight w:val="371"/>
        </w:trPr>
        <w:tc>
          <w:tcPr>
            <w:tcW w:w="1985" w:type="dxa"/>
            <w:vMerge/>
            <w:shd w:val="clear" w:color="auto" w:fill="F2F2F2" w:themeFill="background1" w:themeFillShade="F2"/>
          </w:tcPr>
          <w:p w14:paraId="02F242A4" w14:textId="77777777" w:rsidR="009600CF" w:rsidRDefault="009600CF" w:rsidP="00F167F7">
            <w:pPr>
              <w:pStyle w:val="BodyText"/>
              <w:jc w:val="left"/>
              <w:rPr>
                <w:rFonts w:ascii="MS Gothic" w:eastAsia="MS Gothic" w:hAnsi="MS Gothic"/>
              </w:rPr>
            </w:pPr>
          </w:p>
        </w:tc>
        <w:tc>
          <w:tcPr>
            <w:tcW w:w="987" w:type="dxa"/>
            <w:vMerge w:val="restart"/>
            <w:shd w:val="clear" w:color="auto" w:fill="FFFFFF" w:themeFill="background1"/>
          </w:tcPr>
          <w:p w14:paraId="22F349D3"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6A63D8A0" w14:textId="77777777" w:rsidR="009600CF" w:rsidRPr="001A487C" w:rsidRDefault="009600CF" w:rsidP="00F167F7">
            <w:pPr>
              <w:pStyle w:val="BodyText"/>
            </w:pPr>
          </w:p>
        </w:tc>
        <w:tc>
          <w:tcPr>
            <w:tcW w:w="425" w:type="dxa"/>
            <w:shd w:val="clear" w:color="auto" w:fill="FFFFFF" w:themeFill="background1"/>
          </w:tcPr>
          <w:p w14:paraId="137A7314" w14:textId="77777777" w:rsidR="009600CF" w:rsidRPr="004F7190" w:rsidRDefault="009600CF" w:rsidP="00A42DEF">
            <w:pPr>
              <w:pStyle w:val="Bullet1"/>
              <w:numPr>
                <w:ilvl w:val="0"/>
                <w:numId w:val="26"/>
              </w:numPr>
              <w:spacing w:before="120" w:after="120"/>
            </w:pPr>
          </w:p>
        </w:tc>
        <w:tc>
          <w:tcPr>
            <w:tcW w:w="6946" w:type="dxa"/>
            <w:shd w:val="clear" w:color="auto" w:fill="FFFFFF" w:themeFill="background1"/>
          </w:tcPr>
          <w:p w14:paraId="5B9D90E5" w14:textId="77777777" w:rsidR="009600CF" w:rsidRPr="00576443" w:rsidRDefault="009600CF" w:rsidP="00F167F7">
            <w:pPr>
              <w:pStyle w:val="BodyText"/>
              <w:spacing w:before="120" w:after="120"/>
              <w:jc w:val="left"/>
              <w:rPr>
                <w:rFonts w:cs="Arial"/>
                <w:b/>
                <w:i/>
              </w:rPr>
            </w:pPr>
            <w:r w:rsidRPr="00576443">
              <w:rPr>
                <w:rFonts w:cs="Arial"/>
                <w:b/>
                <w:i/>
              </w:rPr>
              <w:t>How is the alignment of the investment strategy with the methodology of the index ensured on a continuous basis?</w:t>
            </w:r>
          </w:p>
        </w:tc>
      </w:tr>
      <w:tr w:rsidR="009600CF" w14:paraId="5D58853B" w14:textId="77777777" w:rsidTr="002D638B">
        <w:trPr>
          <w:trHeight w:val="366"/>
        </w:trPr>
        <w:tc>
          <w:tcPr>
            <w:tcW w:w="1985" w:type="dxa"/>
            <w:vMerge/>
            <w:shd w:val="clear" w:color="auto" w:fill="F2F2F2" w:themeFill="background1" w:themeFillShade="F2"/>
          </w:tcPr>
          <w:p w14:paraId="2D1A3945" w14:textId="77777777" w:rsidR="009600CF" w:rsidRDefault="009600CF" w:rsidP="00F167F7">
            <w:pPr>
              <w:pStyle w:val="BodyText"/>
              <w:jc w:val="left"/>
              <w:rPr>
                <w:rFonts w:ascii="MS Gothic" w:eastAsia="MS Gothic" w:hAnsi="MS Gothic"/>
              </w:rPr>
            </w:pPr>
          </w:p>
        </w:tc>
        <w:tc>
          <w:tcPr>
            <w:tcW w:w="987" w:type="dxa"/>
            <w:vMerge/>
            <w:shd w:val="clear" w:color="auto" w:fill="FFFFFF" w:themeFill="background1"/>
          </w:tcPr>
          <w:p w14:paraId="6213DAF7"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2EC419D6" w14:textId="77777777" w:rsidR="009600CF" w:rsidRPr="001A487C" w:rsidRDefault="009600CF" w:rsidP="00F167F7">
            <w:pPr>
              <w:pStyle w:val="BodyText"/>
              <w:rPr>
                <w:rFonts w:cs="Arial"/>
              </w:rPr>
            </w:pPr>
          </w:p>
        </w:tc>
        <w:tc>
          <w:tcPr>
            <w:tcW w:w="425" w:type="dxa"/>
            <w:shd w:val="clear" w:color="auto" w:fill="FFFFFF" w:themeFill="background1"/>
          </w:tcPr>
          <w:p w14:paraId="341FF3FF" w14:textId="77777777" w:rsidR="009600CF" w:rsidRPr="004F7190" w:rsidRDefault="009600CF" w:rsidP="00F167F7">
            <w:pPr>
              <w:pStyle w:val="BodyText"/>
              <w:jc w:val="left"/>
              <w:rPr>
                <w:rFonts w:cs="Arial"/>
              </w:rPr>
            </w:pPr>
          </w:p>
        </w:tc>
        <w:tc>
          <w:tcPr>
            <w:tcW w:w="6946" w:type="dxa"/>
            <w:shd w:val="clear" w:color="auto" w:fill="FFFFFF" w:themeFill="background1"/>
          </w:tcPr>
          <w:p w14:paraId="48E03B87" w14:textId="77777777" w:rsidR="009600CF" w:rsidRPr="001A487C" w:rsidRDefault="009600CF" w:rsidP="00F167F7">
            <w:pPr>
              <w:pStyle w:val="BodyText"/>
              <w:spacing w:before="120" w:after="120"/>
              <w:jc w:val="left"/>
              <w:rPr>
                <w:rFonts w:cs="Arial"/>
              </w:rPr>
            </w:pPr>
            <w:r>
              <w:rPr>
                <w:rFonts w:cs="Arial"/>
              </w:rPr>
              <w:t>NA</w:t>
            </w:r>
          </w:p>
        </w:tc>
      </w:tr>
      <w:tr w:rsidR="009600CF" w14:paraId="787F0C18" w14:textId="77777777" w:rsidTr="00F167F7">
        <w:trPr>
          <w:trHeight w:val="366"/>
        </w:trPr>
        <w:tc>
          <w:tcPr>
            <w:tcW w:w="1985" w:type="dxa"/>
            <w:vMerge/>
            <w:shd w:val="clear" w:color="auto" w:fill="F2F2F2" w:themeFill="background1" w:themeFillShade="F2"/>
          </w:tcPr>
          <w:p w14:paraId="27FC0473" w14:textId="77777777" w:rsidR="009600CF" w:rsidRDefault="009600CF" w:rsidP="00F167F7">
            <w:pPr>
              <w:pStyle w:val="BodyText"/>
              <w:jc w:val="left"/>
              <w:rPr>
                <w:rFonts w:ascii="MS Gothic" w:eastAsia="MS Gothic" w:hAnsi="MS Gothic"/>
              </w:rPr>
            </w:pPr>
          </w:p>
        </w:tc>
        <w:tc>
          <w:tcPr>
            <w:tcW w:w="987" w:type="dxa"/>
            <w:vMerge/>
            <w:shd w:val="clear" w:color="auto" w:fill="FFFFFF" w:themeFill="background1"/>
          </w:tcPr>
          <w:p w14:paraId="0A43655B"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569402AA" w14:textId="77777777" w:rsidR="009600CF" w:rsidRPr="001A487C" w:rsidRDefault="009600CF" w:rsidP="00F167F7">
            <w:pPr>
              <w:pStyle w:val="BodyText"/>
            </w:pPr>
          </w:p>
        </w:tc>
        <w:tc>
          <w:tcPr>
            <w:tcW w:w="425" w:type="dxa"/>
            <w:shd w:val="clear" w:color="auto" w:fill="FFFFFF" w:themeFill="background1"/>
          </w:tcPr>
          <w:p w14:paraId="07370CDA" w14:textId="77777777" w:rsidR="009600CF" w:rsidRPr="004F7190" w:rsidRDefault="009600CF" w:rsidP="00A42DEF">
            <w:pPr>
              <w:pStyle w:val="Bullet1"/>
              <w:numPr>
                <w:ilvl w:val="0"/>
                <w:numId w:val="26"/>
              </w:numPr>
              <w:spacing w:before="120" w:after="120"/>
            </w:pPr>
          </w:p>
        </w:tc>
        <w:tc>
          <w:tcPr>
            <w:tcW w:w="6946" w:type="dxa"/>
            <w:shd w:val="clear" w:color="auto" w:fill="FFFFFF" w:themeFill="background1"/>
          </w:tcPr>
          <w:p w14:paraId="65F4B98C" w14:textId="77777777" w:rsidR="009600CF" w:rsidRPr="00576443" w:rsidRDefault="009600CF" w:rsidP="00F167F7">
            <w:pPr>
              <w:pStyle w:val="BodyText"/>
              <w:spacing w:before="120" w:after="120"/>
              <w:jc w:val="left"/>
              <w:rPr>
                <w:rFonts w:cs="Arial"/>
                <w:b/>
                <w:i/>
              </w:rPr>
            </w:pPr>
            <w:r w:rsidRPr="00576443">
              <w:rPr>
                <w:rFonts w:cs="Arial"/>
                <w:b/>
                <w:i/>
              </w:rPr>
              <w:t>How does the designated index differ from a relevant broad market index?</w:t>
            </w:r>
          </w:p>
        </w:tc>
      </w:tr>
      <w:tr w:rsidR="009600CF" w14:paraId="45F51E68" w14:textId="77777777" w:rsidTr="002D638B">
        <w:trPr>
          <w:trHeight w:val="366"/>
        </w:trPr>
        <w:tc>
          <w:tcPr>
            <w:tcW w:w="1985" w:type="dxa"/>
            <w:vMerge/>
            <w:shd w:val="clear" w:color="auto" w:fill="F2F2F2" w:themeFill="background1" w:themeFillShade="F2"/>
          </w:tcPr>
          <w:p w14:paraId="3CFFE590" w14:textId="77777777" w:rsidR="009600CF" w:rsidRDefault="009600CF" w:rsidP="00F167F7">
            <w:pPr>
              <w:pStyle w:val="BodyText"/>
              <w:jc w:val="left"/>
              <w:rPr>
                <w:rFonts w:ascii="MS Gothic" w:eastAsia="MS Gothic" w:hAnsi="MS Gothic"/>
              </w:rPr>
            </w:pPr>
          </w:p>
        </w:tc>
        <w:tc>
          <w:tcPr>
            <w:tcW w:w="987" w:type="dxa"/>
            <w:vMerge/>
            <w:shd w:val="clear" w:color="auto" w:fill="FFFFFF" w:themeFill="background1"/>
          </w:tcPr>
          <w:p w14:paraId="40168E11"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3C550A54" w14:textId="77777777" w:rsidR="009600CF" w:rsidRPr="001A487C" w:rsidRDefault="009600CF" w:rsidP="00F167F7">
            <w:pPr>
              <w:pStyle w:val="BodyText"/>
              <w:rPr>
                <w:rFonts w:cs="Arial"/>
              </w:rPr>
            </w:pPr>
          </w:p>
        </w:tc>
        <w:tc>
          <w:tcPr>
            <w:tcW w:w="425" w:type="dxa"/>
            <w:shd w:val="clear" w:color="auto" w:fill="FFFFFF" w:themeFill="background1"/>
          </w:tcPr>
          <w:p w14:paraId="2579FE6D" w14:textId="77777777" w:rsidR="009600CF" w:rsidRPr="004F7190" w:rsidRDefault="009600CF" w:rsidP="00F167F7">
            <w:pPr>
              <w:pStyle w:val="BodyText"/>
              <w:jc w:val="left"/>
              <w:rPr>
                <w:rFonts w:cs="Arial"/>
              </w:rPr>
            </w:pPr>
          </w:p>
        </w:tc>
        <w:tc>
          <w:tcPr>
            <w:tcW w:w="6946" w:type="dxa"/>
            <w:shd w:val="clear" w:color="auto" w:fill="FFFFFF" w:themeFill="background1"/>
          </w:tcPr>
          <w:p w14:paraId="54226121" w14:textId="77777777" w:rsidR="009600CF" w:rsidRPr="001A487C" w:rsidRDefault="009600CF" w:rsidP="00F167F7">
            <w:pPr>
              <w:pStyle w:val="BodyText"/>
              <w:spacing w:before="120" w:after="120"/>
              <w:jc w:val="left"/>
              <w:rPr>
                <w:rFonts w:cs="Arial"/>
              </w:rPr>
            </w:pPr>
            <w:r>
              <w:rPr>
                <w:rFonts w:cs="Arial"/>
              </w:rPr>
              <w:t>NA</w:t>
            </w:r>
          </w:p>
        </w:tc>
      </w:tr>
      <w:tr w:rsidR="009600CF" w14:paraId="1569516F" w14:textId="77777777" w:rsidTr="00F167F7">
        <w:trPr>
          <w:trHeight w:val="366"/>
        </w:trPr>
        <w:tc>
          <w:tcPr>
            <w:tcW w:w="1985" w:type="dxa"/>
            <w:vMerge/>
            <w:shd w:val="clear" w:color="auto" w:fill="F2F2F2" w:themeFill="background1" w:themeFillShade="F2"/>
          </w:tcPr>
          <w:p w14:paraId="679C5971" w14:textId="77777777" w:rsidR="009600CF" w:rsidRDefault="009600CF" w:rsidP="00F167F7">
            <w:pPr>
              <w:pStyle w:val="BodyText"/>
              <w:jc w:val="left"/>
              <w:rPr>
                <w:rFonts w:ascii="MS Gothic" w:eastAsia="MS Gothic" w:hAnsi="MS Gothic"/>
              </w:rPr>
            </w:pPr>
          </w:p>
        </w:tc>
        <w:tc>
          <w:tcPr>
            <w:tcW w:w="987" w:type="dxa"/>
            <w:vMerge/>
            <w:shd w:val="clear" w:color="auto" w:fill="FFFFFF" w:themeFill="background1"/>
          </w:tcPr>
          <w:p w14:paraId="74201FD6"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0F724224" w14:textId="77777777" w:rsidR="009600CF" w:rsidRPr="001A487C" w:rsidRDefault="009600CF" w:rsidP="00F167F7">
            <w:pPr>
              <w:pStyle w:val="BodyText"/>
            </w:pPr>
          </w:p>
        </w:tc>
        <w:tc>
          <w:tcPr>
            <w:tcW w:w="425" w:type="dxa"/>
            <w:shd w:val="clear" w:color="auto" w:fill="FFFFFF" w:themeFill="background1"/>
          </w:tcPr>
          <w:p w14:paraId="2D601A0C" w14:textId="77777777" w:rsidR="009600CF" w:rsidRPr="004F7190" w:rsidRDefault="009600CF" w:rsidP="00A42DEF">
            <w:pPr>
              <w:pStyle w:val="Bullet1"/>
              <w:numPr>
                <w:ilvl w:val="0"/>
                <w:numId w:val="26"/>
              </w:numPr>
              <w:spacing w:before="120" w:after="120"/>
            </w:pPr>
          </w:p>
        </w:tc>
        <w:tc>
          <w:tcPr>
            <w:tcW w:w="6946" w:type="dxa"/>
            <w:shd w:val="clear" w:color="auto" w:fill="FFFFFF" w:themeFill="background1"/>
          </w:tcPr>
          <w:p w14:paraId="5AD41653" w14:textId="77777777" w:rsidR="009600CF" w:rsidRPr="00576443" w:rsidRDefault="009600CF" w:rsidP="00F167F7">
            <w:pPr>
              <w:pStyle w:val="BodyText"/>
              <w:spacing w:before="120" w:after="120"/>
              <w:jc w:val="left"/>
              <w:rPr>
                <w:rFonts w:cs="Arial"/>
                <w:b/>
                <w:i/>
              </w:rPr>
            </w:pPr>
            <w:r w:rsidRPr="00576443">
              <w:rPr>
                <w:rFonts w:cs="Arial"/>
                <w:b/>
                <w:i/>
              </w:rPr>
              <w:t>Where can the methodology used for the calculation of the designated index be found?</w:t>
            </w:r>
          </w:p>
        </w:tc>
      </w:tr>
      <w:tr w:rsidR="009600CF" w14:paraId="30C60383" w14:textId="77777777" w:rsidTr="002D638B">
        <w:trPr>
          <w:trHeight w:val="366"/>
        </w:trPr>
        <w:tc>
          <w:tcPr>
            <w:tcW w:w="1985" w:type="dxa"/>
            <w:vMerge/>
            <w:shd w:val="clear" w:color="auto" w:fill="F2F2F2" w:themeFill="background1" w:themeFillShade="F2"/>
          </w:tcPr>
          <w:p w14:paraId="0465DCA7" w14:textId="77777777" w:rsidR="009600CF" w:rsidRDefault="009600CF" w:rsidP="00F167F7">
            <w:pPr>
              <w:pStyle w:val="BodyText"/>
              <w:jc w:val="left"/>
              <w:rPr>
                <w:rFonts w:ascii="MS Gothic" w:eastAsia="MS Gothic" w:hAnsi="MS Gothic"/>
              </w:rPr>
            </w:pPr>
          </w:p>
        </w:tc>
        <w:tc>
          <w:tcPr>
            <w:tcW w:w="987" w:type="dxa"/>
            <w:vMerge/>
            <w:shd w:val="clear" w:color="auto" w:fill="FFFFFF" w:themeFill="background1"/>
          </w:tcPr>
          <w:p w14:paraId="52CEB787" w14:textId="77777777" w:rsidR="009600CF" w:rsidRPr="001A487C" w:rsidRDefault="009600CF" w:rsidP="00F167F7">
            <w:pPr>
              <w:pStyle w:val="BodyText"/>
              <w:jc w:val="left"/>
              <w:rPr>
                <w:rFonts w:eastAsia="Calibri" w:cs="Arial"/>
                <w:bCs/>
                <w:iCs/>
                <w:noProof/>
                <w:szCs w:val="22"/>
              </w:rPr>
            </w:pPr>
          </w:p>
        </w:tc>
        <w:tc>
          <w:tcPr>
            <w:tcW w:w="567" w:type="dxa"/>
            <w:shd w:val="clear" w:color="auto" w:fill="FFFFFF" w:themeFill="background1"/>
          </w:tcPr>
          <w:p w14:paraId="5F638D1C" w14:textId="77777777" w:rsidR="009600CF" w:rsidRPr="001A487C" w:rsidRDefault="009600CF" w:rsidP="00F167F7">
            <w:pPr>
              <w:pStyle w:val="BodyText"/>
              <w:jc w:val="left"/>
              <w:rPr>
                <w:rFonts w:cs="Arial"/>
              </w:rPr>
            </w:pPr>
          </w:p>
        </w:tc>
        <w:tc>
          <w:tcPr>
            <w:tcW w:w="425" w:type="dxa"/>
            <w:shd w:val="clear" w:color="auto" w:fill="FFFFFF" w:themeFill="background1"/>
          </w:tcPr>
          <w:p w14:paraId="09294790" w14:textId="77777777" w:rsidR="009600CF" w:rsidRPr="001A487C" w:rsidRDefault="009600CF" w:rsidP="00F167F7">
            <w:pPr>
              <w:pStyle w:val="BodyText"/>
              <w:jc w:val="left"/>
              <w:rPr>
                <w:rFonts w:cs="Arial"/>
              </w:rPr>
            </w:pPr>
          </w:p>
        </w:tc>
        <w:tc>
          <w:tcPr>
            <w:tcW w:w="6946" w:type="dxa"/>
            <w:shd w:val="clear" w:color="auto" w:fill="FFFFFF" w:themeFill="background1"/>
          </w:tcPr>
          <w:p w14:paraId="0FAB115E" w14:textId="77777777" w:rsidR="009600CF" w:rsidRPr="001A487C" w:rsidRDefault="009600CF" w:rsidP="00F167F7">
            <w:pPr>
              <w:pStyle w:val="BodyText"/>
              <w:jc w:val="left"/>
              <w:rPr>
                <w:rFonts w:cs="Arial"/>
              </w:rPr>
            </w:pPr>
            <w:r>
              <w:rPr>
                <w:rFonts w:cs="Arial"/>
              </w:rPr>
              <w:t>NA</w:t>
            </w:r>
          </w:p>
        </w:tc>
      </w:tr>
    </w:tbl>
    <w:p w14:paraId="3781938E" w14:textId="77777777" w:rsidR="009600CF" w:rsidRDefault="009600CF" w:rsidP="009600CF"/>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567"/>
        <w:gridCol w:w="425"/>
        <w:gridCol w:w="6946"/>
      </w:tblGrid>
      <w:tr w:rsidR="009600CF" w14:paraId="1473145C" w14:textId="77777777" w:rsidTr="00F167F7">
        <w:trPr>
          <w:trHeight w:val="395"/>
        </w:trPr>
        <w:tc>
          <w:tcPr>
            <w:tcW w:w="2972" w:type="dxa"/>
            <w:vMerge w:val="restart"/>
          </w:tcPr>
          <w:p w14:paraId="010675B2" w14:textId="77777777" w:rsidR="009600CF" w:rsidRPr="001A487C" w:rsidRDefault="009600CF" w:rsidP="00F167F7">
            <w:pPr>
              <w:pStyle w:val="BodyText"/>
              <w:jc w:val="left"/>
              <w:rPr>
                <w:rFonts w:eastAsia="Calibri" w:cs="Arial"/>
                <w:bCs/>
                <w:iCs/>
                <w:noProof/>
                <w:szCs w:val="22"/>
              </w:rPr>
            </w:pPr>
            <w:r w:rsidRPr="003A1C01">
              <w:rPr>
                <w:rFonts w:ascii="Calibri" w:hAnsi="Calibri"/>
                <w:noProof/>
                <w:lang w:val="en-GB" w:eastAsia="en-GB"/>
              </w:rPr>
              <w:drawing>
                <wp:anchor distT="0" distB="0" distL="114300" distR="114300" simplePos="0" relativeHeight="251671552" behindDoc="0" locked="1" layoutInCell="1" allowOverlap="1" wp14:anchorId="46322993" wp14:editId="0D71C2CC">
                  <wp:simplePos x="0" y="0"/>
                  <wp:positionH relativeFrom="column">
                    <wp:posOffset>-31</wp:posOffset>
                  </wp:positionH>
                  <wp:positionV relativeFrom="paragraph">
                    <wp:posOffset>465</wp:posOffset>
                  </wp:positionV>
                  <wp:extent cx="1612800" cy="568800"/>
                  <wp:effectExtent l="0" t="0" r="6985" b="3175"/>
                  <wp:wrapSquare wrapText="bothSides"/>
                  <wp:docPr id="229" name="Graphic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612800" cy="568800"/>
                          </a:xfrm>
                          <a:prstGeom prst="rect">
                            <a:avLst/>
                          </a:prstGeom>
                        </pic:spPr>
                      </pic:pic>
                    </a:graphicData>
                  </a:graphic>
                  <wp14:sizeRelH relativeFrom="margin">
                    <wp14:pctWidth>0</wp14:pctWidth>
                  </wp14:sizeRelH>
                  <wp14:sizeRelV relativeFrom="margin">
                    <wp14:pctHeight>0</wp14:pctHeight>
                  </wp14:sizeRelV>
                </wp:anchor>
              </w:drawing>
            </w:r>
          </w:p>
        </w:tc>
        <w:tc>
          <w:tcPr>
            <w:tcW w:w="567" w:type="dxa"/>
            <w:vMerge w:val="restart"/>
            <w:shd w:val="clear" w:color="auto" w:fill="FFFFFF" w:themeFill="background1"/>
          </w:tcPr>
          <w:p w14:paraId="6FDDEF99" w14:textId="77777777" w:rsidR="009600CF" w:rsidRPr="001A487C" w:rsidRDefault="009600CF" w:rsidP="00F167F7">
            <w:pPr>
              <w:pStyle w:val="BodyText"/>
              <w:jc w:val="left"/>
              <w:rPr>
                <w:rFonts w:cs="Arial"/>
              </w:rPr>
            </w:pPr>
          </w:p>
        </w:tc>
        <w:tc>
          <w:tcPr>
            <w:tcW w:w="425" w:type="dxa"/>
            <w:shd w:val="clear" w:color="auto" w:fill="FFFFFF" w:themeFill="background1"/>
          </w:tcPr>
          <w:p w14:paraId="303DBACB" w14:textId="77777777" w:rsidR="009600CF" w:rsidRPr="00576443" w:rsidRDefault="009600CF" w:rsidP="00F167F7">
            <w:pPr>
              <w:pStyle w:val="BodyText"/>
              <w:jc w:val="left"/>
              <w:rPr>
                <w:rFonts w:cs="Arial"/>
                <w:b/>
              </w:rPr>
            </w:pPr>
          </w:p>
        </w:tc>
        <w:tc>
          <w:tcPr>
            <w:tcW w:w="6946" w:type="dxa"/>
            <w:shd w:val="clear" w:color="auto" w:fill="FFFFFF" w:themeFill="background1"/>
          </w:tcPr>
          <w:p w14:paraId="4B33C6A7" w14:textId="77777777" w:rsidR="009600CF" w:rsidRDefault="009600CF" w:rsidP="00F167F7">
            <w:pPr>
              <w:pStyle w:val="BodyText"/>
              <w:spacing w:before="120" w:after="120"/>
              <w:jc w:val="left"/>
              <w:rPr>
                <w:rFonts w:cs="Arial"/>
                <w:b/>
              </w:rPr>
            </w:pPr>
            <w:r w:rsidRPr="00576443">
              <w:rPr>
                <w:rFonts w:cs="Arial"/>
                <w:b/>
              </w:rPr>
              <w:t>Where can I find more product specific information online?</w:t>
            </w:r>
          </w:p>
          <w:p w14:paraId="1C58C465" w14:textId="77777777" w:rsidR="009600CF" w:rsidRPr="00BA043F" w:rsidRDefault="009600CF" w:rsidP="00F167F7">
            <w:pPr>
              <w:pStyle w:val="BodyText"/>
              <w:spacing w:before="120" w:after="120"/>
              <w:jc w:val="left"/>
              <w:rPr>
                <w:rFonts w:cs="Arial"/>
                <w:bCs/>
              </w:rPr>
            </w:pPr>
          </w:p>
        </w:tc>
      </w:tr>
      <w:tr w:rsidR="009600CF" w14:paraId="11E17E18" w14:textId="77777777" w:rsidTr="00F167F7">
        <w:trPr>
          <w:trHeight w:val="395"/>
        </w:trPr>
        <w:tc>
          <w:tcPr>
            <w:tcW w:w="2972" w:type="dxa"/>
            <w:vMerge/>
          </w:tcPr>
          <w:p w14:paraId="1DE0D3B5" w14:textId="77777777" w:rsidR="009600CF" w:rsidRPr="003A1C01" w:rsidRDefault="009600CF" w:rsidP="00F167F7">
            <w:pPr>
              <w:pStyle w:val="BodyText"/>
              <w:jc w:val="left"/>
              <w:rPr>
                <w:rFonts w:ascii="Calibri" w:hAnsi="Calibri"/>
                <w:noProof/>
              </w:rPr>
            </w:pPr>
          </w:p>
        </w:tc>
        <w:tc>
          <w:tcPr>
            <w:tcW w:w="567" w:type="dxa"/>
            <w:vMerge/>
            <w:shd w:val="clear" w:color="auto" w:fill="FFFFFF" w:themeFill="background1"/>
          </w:tcPr>
          <w:p w14:paraId="552688C4" w14:textId="77777777" w:rsidR="009600CF" w:rsidRPr="001A487C" w:rsidRDefault="009600CF" w:rsidP="00F167F7">
            <w:pPr>
              <w:pStyle w:val="BodyText"/>
              <w:jc w:val="left"/>
              <w:rPr>
                <w:rFonts w:cs="Arial"/>
              </w:rPr>
            </w:pPr>
          </w:p>
        </w:tc>
        <w:tc>
          <w:tcPr>
            <w:tcW w:w="425" w:type="dxa"/>
            <w:shd w:val="clear" w:color="auto" w:fill="FFFFFF" w:themeFill="background1"/>
          </w:tcPr>
          <w:p w14:paraId="4259A204" w14:textId="77777777" w:rsidR="009600CF" w:rsidRPr="00576443" w:rsidRDefault="009600CF" w:rsidP="00F167F7">
            <w:pPr>
              <w:pStyle w:val="BodyText"/>
              <w:jc w:val="left"/>
              <w:rPr>
                <w:rFonts w:cs="Arial"/>
                <w:b/>
              </w:rPr>
            </w:pPr>
          </w:p>
        </w:tc>
        <w:tc>
          <w:tcPr>
            <w:tcW w:w="6946" w:type="dxa"/>
            <w:shd w:val="clear" w:color="auto" w:fill="FFFFFF" w:themeFill="background1"/>
          </w:tcPr>
          <w:p w14:paraId="03A952FE" w14:textId="4B412084" w:rsidR="009600CF" w:rsidRPr="00D11DFB" w:rsidRDefault="009600CF" w:rsidP="007B198D">
            <w:pPr>
              <w:pStyle w:val="BodyText"/>
              <w:spacing w:before="120" w:after="120"/>
              <w:jc w:val="left"/>
              <w:rPr>
                <w:rFonts w:cs="Arial"/>
                <w:bCs/>
              </w:rPr>
            </w:pPr>
            <w:r w:rsidRPr="00D11DFB">
              <w:rPr>
                <w:rFonts w:cs="Arial"/>
                <w:bCs/>
              </w:rPr>
              <w:t>More product-specific information can be found on the website</w:t>
            </w:r>
          </w:p>
        </w:tc>
      </w:tr>
      <w:tr w:rsidR="009600CF" w14:paraId="0C489050" w14:textId="77777777" w:rsidTr="001B15D7">
        <w:trPr>
          <w:trHeight w:val="395"/>
        </w:trPr>
        <w:tc>
          <w:tcPr>
            <w:tcW w:w="2972" w:type="dxa"/>
          </w:tcPr>
          <w:p w14:paraId="12AF0B74" w14:textId="77777777" w:rsidR="009600CF" w:rsidRPr="003A1C01" w:rsidRDefault="009600CF" w:rsidP="00F167F7">
            <w:pPr>
              <w:pStyle w:val="BodyText"/>
              <w:jc w:val="left"/>
              <w:rPr>
                <w:rFonts w:ascii="Calibri" w:hAnsi="Calibri"/>
                <w:noProof/>
              </w:rPr>
            </w:pPr>
          </w:p>
        </w:tc>
        <w:tc>
          <w:tcPr>
            <w:tcW w:w="567" w:type="dxa"/>
            <w:shd w:val="clear" w:color="auto" w:fill="FFFFFF" w:themeFill="background1"/>
          </w:tcPr>
          <w:p w14:paraId="60572579" w14:textId="77777777" w:rsidR="009600CF" w:rsidRPr="001A487C" w:rsidRDefault="009600CF" w:rsidP="00F167F7">
            <w:pPr>
              <w:pStyle w:val="BodyText"/>
              <w:jc w:val="left"/>
              <w:rPr>
                <w:rFonts w:cs="Arial"/>
              </w:rPr>
            </w:pPr>
          </w:p>
        </w:tc>
        <w:tc>
          <w:tcPr>
            <w:tcW w:w="425" w:type="dxa"/>
            <w:shd w:val="clear" w:color="auto" w:fill="FFFFFF" w:themeFill="background1"/>
          </w:tcPr>
          <w:p w14:paraId="0A4585FA" w14:textId="77777777" w:rsidR="009600CF" w:rsidRPr="00576443" w:rsidRDefault="009600CF" w:rsidP="00F167F7">
            <w:pPr>
              <w:pStyle w:val="BodyText"/>
              <w:jc w:val="left"/>
              <w:rPr>
                <w:rFonts w:cs="Arial"/>
                <w:b/>
              </w:rPr>
            </w:pPr>
          </w:p>
        </w:tc>
        <w:tc>
          <w:tcPr>
            <w:tcW w:w="6946" w:type="dxa"/>
            <w:shd w:val="clear" w:color="auto" w:fill="FFFFFF" w:themeFill="background1"/>
          </w:tcPr>
          <w:p w14:paraId="44BF47B1" w14:textId="2D1395FC" w:rsidR="006D467A" w:rsidRDefault="00D02BD8" w:rsidP="00F167F7">
            <w:pPr>
              <w:pStyle w:val="BodyText"/>
              <w:jc w:val="left"/>
              <w:rPr>
                <w:rStyle w:val="Hyperlink"/>
                <w:bCs/>
              </w:rPr>
            </w:pPr>
            <w:r>
              <w:t>[</w:t>
            </w:r>
            <w:hyperlink r:id="rId46" w:history="1">
              <w:r w:rsidR="002A2440" w:rsidRPr="00CD312F">
                <w:rPr>
                  <w:rStyle w:val="Hyperlink"/>
                  <w:bCs/>
                </w:rPr>
                <w:t>www.pacificam.co.uk</w:t>
              </w:r>
            </w:hyperlink>
            <w:r>
              <w:rPr>
                <w:rStyle w:val="Hyperlink"/>
                <w:bCs/>
              </w:rPr>
              <w:t>]</w:t>
            </w:r>
          </w:p>
          <w:p w14:paraId="28317454" w14:textId="5AA533DF" w:rsidR="001746B5" w:rsidRPr="00EC2858" w:rsidRDefault="001746B5" w:rsidP="00F167F7">
            <w:pPr>
              <w:pStyle w:val="BodyText"/>
              <w:jc w:val="left"/>
              <w:rPr>
                <w:rFonts w:cs="Arial"/>
                <w:b/>
                <w:i/>
                <w:iCs/>
              </w:rPr>
            </w:pPr>
          </w:p>
        </w:tc>
      </w:tr>
    </w:tbl>
    <w:p w14:paraId="56D4FFB7" w14:textId="77777777" w:rsidR="009600CF" w:rsidRDefault="009600CF" w:rsidP="009600CF">
      <w:pPr>
        <w:pStyle w:val="BodyText"/>
      </w:pPr>
    </w:p>
    <w:p w14:paraId="4462E13A" w14:textId="77777777" w:rsidR="009600CF" w:rsidRDefault="009600CF" w:rsidP="009600CF">
      <w:pPr>
        <w:rPr>
          <w:rFonts w:cstheme="minorBidi"/>
        </w:rPr>
      </w:pPr>
    </w:p>
    <w:p w14:paraId="25335EFC" w14:textId="77777777" w:rsidR="00422134" w:rsidRPr="00422134" w:rsidRDefault="00422134" w:rsidP="00422134">
      <w:pPr>
        <w:pStyle w:val="BodyText"/>
        <w:rPr>
          <w:szCs w:val="20"/>
        </w:rPr>
      </w:pPr>
    </w:p>
    <w:sectPr w:rsidR="00422134" w:rsidRPr="00422134" w:rsidSect="00EF071D">
      <w:footnotePr>
        <w:numRestart w:val="eachSect"/>
      </w:footnotePr>
      <w:endnotePr>
        <w:numFmt w:val="decimal"/>
      </w:endnotePr>
      <w:pgSz w:w="11908" w:h="16833" w:code="9"/>
      <w:pgMar w:top="907" w:right="993" w:bottom="907" w:left="454" w:header="709" w:footer="709"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F307B" w14:textId="77777777" w:rsidR="00846402" w:rsidRDefault="00846402">
      <w:r>
        <w:separator/>
      </w:r>
    </w:p>
  </w:endnote>
  <w:endnote w:type="continuationSeparator" w:id="0">
    <w:p w14:paraId="49621897" w14:textId="77777777" w:rsidR="00846402" w:rsidRDefault="0084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F736" w14:textId="77777777" w:rsidR="00E53779" w:rsidRDefault="00E53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E167" w14:textId="77777777" w:rsidR="00DF7F67" w:rsidRDefault="00DF7F67">
    <w:pPr>
      <w:pStyle w:val="Foot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21</w:t>
    </w:r>
    <w:r>
      <w:rPr>
        <w:rStyle w:val="PageNumber"/>
        <w:szCs w:val="24"/>
      </w:rPr>
      <w:fldChar w:fldCharType="end"/>
    </w:r>
  </w:p>
  <w:p w14:paraId="45E519E3" w14:textId="77777777" w:rsidR="00DF7F67" w:rsidRDefault="00DF7F67">
    <w:pPr>
      <w:rPr>
        <w:rStyle w:val="PageNumber"/>
        <w:sz w:val="16"/>
        <w:szCs w:val="24"/>
      </w:rPr>
    </w:pPr>
    <w:r>
      <w:rPr>
        <w:sz w:val="16"/>
        <w:szCs w:val="24"/>
      </w:rPr>
      <w:tab/>
    </w:r>
    <w:r>
      <w:rPr>
        <w:sz w:val="16"/>
        <w:szCs w:val="24"/>
      </w:rPr>
      <w:tab/>
    </w:r>
    <w:r>
      <w:rPr>
        <w:sz w:val="16"/>
        <w:szCs w:val="24"/>
      </w:rPr>
      <w:tab/>
    </w:r>
    <w:r>
      <w:rPr>
        <w:sz w:val="16"/>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6EC3" w14:textId="19BAFD78" w:rsidR="00DF7F67" w:rsidRPr="00FA14B7" w:rsidRDefault="00FD25DA" w:rsidP="00B14D10">
    <w:pPr>
      <w:pStyle w:val="Footer"/>
    </w:pPr>
    <w:sdt>
      <w:sdtPr>
        <w:rPr>
          <w:rStyle w:val="PageNumber"/>
          <w:sz w:val="16"/>
          <w:szCs w:val="24"/>
        </w:rPr>
        <w:alias w:val="BHDC Content"/>
        <w:tag w:val="5E1D6718476B4E68A931A57DFD309494DOCID_FOOTER"/>
        <w:id w:val="644166734"/>
        <w:placeholder>
          <w:docPart w:val="E146749BDD494881BD20C482EB9A3449"/>
        </w:placeholder>
      </w:sdtPr>
      <w:sdtEndPr>
        <w:rPr>
          <w:rStyle w:val="PageNumber"/>
        </w:rPr>
      </w:sdtEndPr>
      <w:sdtContent>
        <w:r w:rsidR="0070210A">
          <w:rPr>
            <w:rStyle w:val="PageNumber"/>
            <w:sz w:val="16"/>
            <w:szCs w:val="24"/>
          </w:rPr>
          <w:t>62890735.8</w:t>
        </w:r>
      </w:sdtContent>
    </w:sdt>
    <w:r w:rsidR="00DF7F67" w:rsidRPr="00FA14B7">
      <w:rPr>
        <w:rStyle w:val="PageNumber"/>
        <w:sz w:val="16"/>
        <w:szCs w:val="24"/>
      </w:rPr>
      <w:tab/>
    </w:r>
    <w:r w:rsidR="00DF7F67" w:rsidRPr="00FA14B7">
      <w:rPr>
        <w:rStyle w:val="PageNumber"/>
        <w:sz w:val="16"/>
        <w:szCs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DE34" w14:textId="0F198AF2" w:rsidR="00DF7F67" w:rsidRDefault="00DF7F67">
    <w:pPr>
      <w:pStyle w:val="Foot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32989">
      <w:rPr>
        <w:rStyle w:val="PageNumber"/>
        <w:noProof/>
        <w:szCs w:val="24"/>
      </w:rPr>
      <w:t>2</w:t>
    </w:r>
    <w:r>
      <w:rPr>
        <w:rStyle w:val="PageNumber"/>
        <w:szCs w:val="24"/>
      </w:rPr>
      <w:fldChar w:fldCharType="end"/>
    </w:r>
  </w:p>
  <w:p w14:paraId="1294784A" w14:textId="4DEA68FA" w:rsidR="00DF7F67" w:rsidRPr="00C3135B" w:rsidRDefault="00FD25DA" w:rsidP="00B14D10">
    <w:pPr>
      <w:pStyle w:val="Footer"/>
      <w:rPr>
        <w:rStyle w:val="PageNumber"/>
        <w:sz w:val="16"/>
        <w:szCs w:val="24"/>
      </w:rPr>
    </w:pPr>
    <w:sdt>
      <w:sdtPr>
        <w:rPr>
          <w:rStyle w:val="PageNumber"/>
          <w:sz w:val="16"/>
          <w:szCs w:val="24"/>
        </w:rPr>
        <w:alias w:val="BHDC Content"/>
        <w:tag w:val="5E1D6718476B4E68A931A57DFD309494DOCID_FOOTER"/>
        <w:id w:val="-473529460"/>
        <w:placeholder>
          <w:docPart w:val="7977CA4C4A8B4646BC5813DC86635DFF"/>
        </w:placeholder>
      </w:sdtPr>
      <w:sdtEndPr>
        <w:rPr>
          <w:rStyle w:val="PageNumber"/>
        </w:rPr>
      </w:sdtEndPr>
      <w:sdtContent>
        <w:r w:rsidR="0070210A">
          <w:rPr>
            <w:rStyle w:val="PageNumber"/>
            <w:sz w:val="16"/>
            <w:szCs w:val="24"/>
          </w:rPr>
          <w:t>62890735.8</w:t>
        </w:r>
      </w:sdtContent>
    </w:sdt>
    <w:r w:rsidR="00DF7F67" w:rsidRPr="00C3135B">
      <w:rPr>
        <w:rStyle w:val="PageNumber"/>
        <w:sz w:val="16"/>
        <w:szCs w:val="24"/>
      </w:rPr>
      <w:tab/>
    </w:r>
    <w:r w:rsidR="00DF7F67" w:rsidRPr="00C3135B">
      <w:rPr>
        <w:rStyle w:val="PageNumber"/>
        <w:sz w:val="16"/>
        <w:szCs w:val="24"/>
      </w:rPr>
      <w:tab/>
    </w:r>
    <w:r w:rsidR="00DF7F67" w:rsidRPr="00C3135B">
      <w:rPr>
        <w:rStyle w:val="PageNumber"/>
        <w:sz w:val="16"/>
        <w:szCs w:val="24"/>
      </w:rPr>
      <w:tab/>
    </w:r>
    <w:r w:rsidR="00DF7F67" w:rsidRPr="00C3135B">
      <w:rPr>
        <w:rStyle w:val="PageNumber"/>
        <w:sz w:val="16"/>
        <w:szCs w:val="24"/>
      </w:rPr>
      <w:tab/>
    </w:r>
  </w:p>
  <w:p w14:paraId="64D76B0C" w14:textId="77777777" w:rsidR="00DF7F67" w:rsidRDefault="00DF7F67">
    <w:pPr>
      <w:tabs>
        <w:tab w:val="right" w:pos="10100"/>
      </w:tabs>
      <w:rPr>
        <w:rStyle w:val="PageNumber"/>
        <w:sz w:val="16"/>
        <w:szCs w:val="24"/>
      </w:rPr>
    </w:pPr>
    <w:r>
      <w:rPr>
        <w:rStyle w:val="PageNumber"/>
        <w:sz w:val="18"/>
        <w:szCs w:val="2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5505" w14:textId="77777777" w:rsidR="00DF7F67" w:rsidRDefault="00DF7F67">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611603"/>
      <w:docPartObj>
        <w:docPartGallery w:val="Page Numbers (Bottom of Page)"/>
        <w:docPartUnique/>
      </w:docPartObj>
    </w:sdtPr>
    <w:sdtEndPr>
      <w:rPr>
        <w:rStyle w:val="PageNumber"/>
        <w:sz w:val="20"/>
        <w:szCs w:val="24"/>
      </w:rPr>
    </w:sdtEndPr>
    <w:sdtContent>
      <w:p w14:paraId="77DDB108" w14:textId="7CC9FEE3" w:rsidR="00DF7F67" w:rsidRPr="00676C3A" w:rsidRDefault="00DF7F67">
        <w:pPr>
          <w:pStyle w:val="Footer"/>
          <w:jc w:val="center"/>
          <w:rPr>
            <w:rStyle w:val="PageNumber"/>
            <w:noProof/>
            <w:szCs w:val="24"/>
          </w:rPr>
        </w:pPr>
        <w:r w:rsidRPr="00676C3A">
          <w:rPr>
            <w:rStyle w:val="PageNumber"/>
            <w:noProof/>
            <w:szCs w:val="24"/>
          </w:rPr>
          <w:fldChar w:fldCharType="begin"/>
        </w:r>
        <w:r w:rsidRPr="00676C3A">
          <w:rPr>
            <w:rStyle w:val="PageNumber"/>
            <w:noProof/>
            <w:szCs w:val="24"/>
          </w:rPr>
          <w:instrText xml:space="preserve"> PAGE   \* MERGEFORMAT </w:instrText>
        </w:r>
        <w:r w:rsidRPr="00676C3A">
          <w:rPr>
            <w:rStyle w:val="PageNumber"/>
            <w:noProof/>
            <w:szCs w:val="24"/>
          </w:rPr>
          <w:fldChar w:fldCharType="separate"/>
        </w:r>
        <w:r w:rsidR="00332989">
          <w:rPr>
            <w:rStyle w:val="PageNumber"/>
            <w:noProof/>
            <w:szCs w:val="24"/>
          </w:rPr>
          <w:t>42</w:t>
        </w:r>
        <w:r w:rsidRPr="00676C3A">
          <w:rPr>
            <w:rStyle w:val="PageNumber"/>
            <w:szCs w:val="24"/>
          </w:rPr>
          <w:fldChar w:fldCharType="end"/>
        </w:r>
      </w:p>
    </w:sdtContent>
  </w:sdt>
  <w:p w14:paraId="0EDD7A1E" w14:textId="77777777" w:rsidR="00DF7F67" w:rsidRDefault="00DF7F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166B" w14:textId="77777777" w:rsidR="00846402" w:rsidRDefault="00846402">
      <w:r>
        <w:separator/>
      </w:r>
    </w:p>
  </w:footnote>
  <w:footnote w:type="continuationSeparator" w:id="0">
    <w:p w14:paraId="29AC39B7" w14:textId="77777777" w:rsidR="00846402" w:rsidRDefault="00846402">
      <w:r>
        <w:continuationSeparator/>
      </w:r>
    </w:p>
  </w:footnote>
  <w:footnote w:id="1">
    <w:p w14:paraId="611A7294" w14:textId="77777777" w:rsidR="00DF7F67" w:rsidRDefault="00DF7F67" w:rsidP="00304D82">
      <w:pPr>
        <w:pStyle w:val="FootnoteText"/>
        <w:ind w:left="0" w:firstLine="0"/>
      </w:pPr>
      <w:r w:rsidRPr="00304D82">
        <w:rPr>
          <w:rStyle w:val="FootnoteReference"/>
        </w:rPr>
        <w:footnoteRef/>
      </w:r>
      <w:r w:rsidRPr="00304D82">
        <w:rPr>
          <w:sz w:val="16"/>
        </w:rPr>
        <w:t xml:space="preserve"> Fossil gas and/or nuclear related activities will only comply with the EU Taxonomy where they contribute to limiting climate change ("climate change mitigation") and do not significantly harm any EU Taxonomy objective – see explanatory note in the left hand margin.  The full criteria for fossil gas and nuclear energy economic activities that comply with the EU Taxonomy are laid down in Commission Delegated Regulations (EU) 2022/1214.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57F2" w14:textId="77777777" w:rsidR="00E53779" w:rsidRDefault="00E53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6DD6" w14:textId="77777777" w:rsidR="00DF7F67" w:rsidRDefault="00DF7F67">
    <w:pPr>
      <w:pStyle w:val="Header"/>
      <w:rPr>
        <w:szCs w:val="24"/>
      </w:rPr>
    </w:pPr>
    <w:r>
      <w:rPr>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16F5" w14:textId="6FF21332" w:rsidR="00DF7F67" w:rsidRDefault="00676A48">
    <w:pPr>
      <w:pStyle w:val="Header"/>
    </w:pPr>
    <w:r>
      <w:t>Matheson –</w:t>
    </w:r>
    <w:r w:rsidR="001E1B40">
      <w:t xml:space="preserve"> </w:t>
    </w:r>
    <w:r w:rsidR="00E53779">
      <w:t>14 January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DB51" w14:textId="77777777" w:rsidR="00DF7F67" w:rsidRDefault="00DF7F67">
    <w:pPr>
      <w:pStyle w:val="Header"/>
      <w:tabs>
        <w:tab w:val="clear" w:pos="9071"/>
        <w:tab w:val="right" w:pos="10100"/>
      </w:tabs>
      <w:rPr>
        <w:szCs w:val="24"/>
      </w:rPr>
    </w:pPr>
    <w:r>
      <w:rPr>
        <w:sz w:val="18"/>
        <w:szCs w:val="24"/>
      </w:rPr>
      <w:tab/>
    </w:r>
    <w:r>
      <w:rPr>
        <w:sz w:val="18"/>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AE6D" w14:textId="77777777" w:rsidR="00DF7F67" w:rsidRDefault="00DF7F67">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369D" w14:textId="77777777" w:rsidR="00DF7F67" w:rsidRDefault="00DF7F6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487408"/>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45401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682F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1E05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E075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AA9D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A4A7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D221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800D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487C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B51B6"/>
    <w:multiLevelType w:val="hybridMultilevel"/>
    <w:tmpl w:val="1576A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C0DD2"/>
    <w:multiLevelType w:val="hybridMultilevel"/>
    <w:tmpl w:val="CD00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031562"/>
    <w:multiLevelType w:val="multilevel"/>
    <w:tmpl w:val="272622A6"/>
    <w:name w:val="AgtLT"/>
    <w:lvl w:ilvl="0">
      <w:start w:val="1"/>
      <w:numFmt w:val="decimal"/>
      <w:pStyle w:val="Level1"/>
      <w:lvlText w:val="%1"/>
      <w:lvlJc w:val="left"/>
      <w:pPr>
        <w:tabs>
          <w:tab w:val="num" w:pos="709"/>
        </w:tabs>
        <w:ind w:left="709" w:hanging="709"/>
      </w:pPr>
      <w:rPr>
        <w:rFonts w:hint="default"/>
        <w:b w:val="0"/>
      </w:rPr>
    </w:lvl>
    <w:lvl w:ilvl="1">
      <w:start w:val="1"/>
      <w:numFmt w:val="decimal"/>
      <w:pStyle w:val="Level2"/>
      <w:lvlText w:val="%1.%2"/>
      <w:lvlJc w:val="left"/>
      <w:pPr>
        <w:tabs>
          <w:tab w:val="num" w:pos="709"/>
        </w:tabs>
        <w:ind w:left="709" w:hanging="709"/>
      </w:pPr>
      <w:rPr>
        <w:rFonts w:ascii="Arial Narrow" w:hAnsi="Arial Narrow" w:hint="default"/>
        <w:b/>
        <w:i w:val="0"/>
        <w:sz w:val="22"/>
      </w:rPr>
    </w:lvl>
    <w:lvl w:ilvl="2">
      <w:start w:val="1"/>
      <w:numFmt w:val="decimal"/>
      <w:pStyle w:val="Level3"/>
      <w:lvlText w:val="%1.%2.%3"/>
      <w:lvlJc w:val="left"/>
      <w:pPr>
        <w:tabs>
          <w:tab w:val="num" w:pos="1417"/>
        </w:tabs>
        <w:ind w:left="1417" w:hanging="708"/>
      </w:pPr>
      <w:rPr>
        <w:rFonts w:hint="default"/>
        <w:b w:val="0"/>
      </w:rPr>
    </w:lvl>
    <w:lvl w:ilvl="3">
      <w:start w:val="1"/>
      <w:numFmt w:val="lowerLetter"/>
      <w:pStyle w:val="Level4"/>
      <w:lvlText w:val="(%4)"/>
      <w:lvlJc w:val="left"/>
      <w:pPr>
        <w:tabs>
          <w:tab w:val="num" w:pos="2126"/>
        </w:tabs>
        <w:ind w:left="2126" w:hanging="709"/>
      </w:pPr>
      <w:rPr>
        <w:rFonts w:hint="default"/>
        <w:b w:val="0"/>
      </w:rPr>
    </w:lvl>
    <w:lvl w:ilvl="4">
      <w:start w:val="1"/>
      <w:numFmt w:val="lowerRoman"/>
      <w:pStyle w:val="Level5"/>
      <w:lvlText w:val="(%5)"/>
      <w:lvlJc w:val="left"/>
      <w:pPr>
        <w:tabs>
          <w:tab w:val="num" w:pos="2835"/>
        </w:tabs>
        <w:ind w:left="2835" w:hanging="709"/>
      </w:pPr>
      <w:rPr>
        <w:rFonts w:hint="default"/>
        <w:b w:val="0"/>
      </w:rPr>
    </w:lvl>
    <w:lvl w:ilvl="5">
      <w:start w:val="1"/>
      <w:numFmt w:val="upperLetter"/>
      <w:pStyle w:val="Level6"/>
      <w:lvlText w:val="(%6)"/>
      <w:lvlJc w:val="left"/>
      <w:pPr>
        <w:tabs>
          <w:tab w:val="num" w:pos="3543"/>
        </w:tabs>
        <w:ind w:left="3543" w:hanging="708"/>
      </w:pPr>
      <w:rPr>
        <w:rFonts w:hint="default"/>
        <w:b w:val="0"/>
      </w:rPr>
    </w:lvl>
    <w:lvl w:ilvl="6">
      <w:start w:val="1"/>
      <w:numFmt w:val="decimal"/>
      <w:lvlText w:val="%7."/>
      <w:lvlJc w:val="left"/>
      <w:pPr>
        <w:tabs>
          <w:tab w:val="num" w:pos="3226"/>
        </w:tabs>
        <w:ind w:left="3226" w:hanging="357"/>
      </w:pPr>
      <w:rPr>
        <w:rFonts w:hint="default"/>
        <w:b w:val="0"/>
      </w:rPr>
    </w:lvl>
    <w:lvl w:ilvl="7">
      <w:start w:val="1"/>
      <w:numFmt w:val="lowerLetter"/>
      <w:lvlText w:val="%8."/>
      <w:lvlJc w:val="left"/>
      <w:pPr>
        <w:tabs>
          <w:tab w:val="num" w:pos="3589"/>
        </w:tabs>
        <w:ind w:left="3589" w:hanging="363"/>
      </w:pPr>
      <w:rPr>
        <w:rFonts w:hint="default"/>
        <w:b w:val="0"/>
      </w:rPr>
    </w:lvl>
    <w:lvl w:ilvl="8">
      <w:start w:val="1"/>
      <w:numFmt w:val="lowerRoman"/>
      <w:lvlText w:val="%9."/>
      <w:lvlJc w:val="left"/>
      <w:pPr>
        <w:tabs>
          <w:tab w:val="num" w:pos="3946"/>
        </w:tabs>
        <w:ind w:left="3946" w:hanging="357"/>
      </w:pPr>
      <w:rPr>
        <w:rFonts w:hint="default"/>
        <w:b w:val="0"/>
      </w:rPr>
    </w:lvl>
  </w:abstractNum>
  <w:abstractNum w:abstractNumId="13" w15:restartNumberingAfterBreak="0">
    <w:nsid w:val="1B6E0C83"/>
    <w:multiLevelType w:val="multilevel"/>
    <w:tmpl w:val="224075F2"/>
    <w:name w:val="AgtLT2"/>
    <w:lvl w:ilvl="0">
      <w:start w:val="10"/>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ascii="Arial Narrow" w:hAnsi="Arial Narrow" w:hint="default"/>
        <w:b/>
        <w:i w:val="0"/>
        <w:sz w:val="22"/>
      </w:rPr>
    </w:lvl>
    <w:lvl w:ilvl="2">
      <w:start w:val="1"/>
      <w:numFmt w:val="decimal"/>
      <w:lvlText w:val="%1.%2.%3"/>
      <w:lvlJc w:val="left"/>
      <w:pPr>
        <w:tabs>
          <w:tab w:val="num" w:pos="1417"/>
        </w:tabs>
        <w:ind w:left="1417" w:hanging="708"/>
      </w:pPr>
      <w:rPr>
        <w:rFonts w:hint="default"/>
        <w:b w:val="0"/>
      </w:rPr>
    </w:lvl>
    <w:lvl w:ilvl="3">
      <w:start w:val="1"/>
      <w:numFmt w:val="lowerLetter"/>
      <w:lvlText w:val="(%4)"/>
      <w:lvlJc w:val="left"/>
      <w:pPr>
        <w:tabs>
          <w:tab w:val="num" w:pos="2126"/>
        </w:tabs>
        <w:ind w:left="2126" w:hanging="709"/>
      </w:pPr>
      <w:rPr>
        <w:rFonts w:hint="default"/>
        <w:b w:val="0"/>
      </w:rPr>
    </w:lvl>
    <w:lvl w:ilvl="4">
      <w:start w:val="1"/>
      <w:numFmt w:val="lowerRoman"/>
      <w:lvlText w:val="(%5)"/>
      <w:lvlJc w:val="left"/>
      <w:pPr>
        <w:tabs>
          <w:tab w:val="num" w:pos="2835"/>
        </w:tabs>
        <w:ind w:left="2835" w:hanging="709"/>
      </w:pPr>
      <w:rPr>
        <w:rFonts w:hint="default"/>
        <w:b w:val="0"/>
      </w:rPr>
    </w:lvl>
    <w:lvl w:ilvl="5">
      <w:start w:val="1"/>
      <w:numFmt w:val="upperLetter"/>
      <w:lvlText w:val="(%6)"/>
      <w:lvlJc w:val="left"/>
      <w:pPr>
        <w:tabs>
          <w:tab w:val="num" w:pos="3543"/>
        </w:tabs>
        <w:ind w:left="3543" w:hanging="708"/>
      </w:pPr>
      <w:rPr>
        <w:rFonts w:hint="default"/>
        <w:b w:val="0"/>
      </w:rPr>
    </w:lvl>
    <w:lvl w:ilvl="6">
      <w:start w:val="1"/>
      <w:numFmt w:val="decimal"/>
      <w:lvlText w:val="%7."/>
      <w:lvlJc w:val="left"/>
      <w:pPr>
        <w:tabs>
          <w:tab w:val="num" w:pos="3226"/>
        </w:tabs>
        <w:ind w:left="3226" w:hanging="357"/>
      </w:pPr>
      <w:rPr>
        <w:rFonts w:hint="default"/>
        <w:b w:val="0"/>
      </w:rPr>
    </w:lvl>
    <w:lvl w:ilvl="7">
      <w:start w:val="1"/>
      <w:numFmt w:val="lowerLetter"/>
      <w:lvlText w:val="%8."/>
      <w:lvlJc w:val="left"/>
      <w:pPr>
        <w:tabs>
          <w:tab w:val="num" w:pos="3589"/>
        </w:tabs>
        <w:ind w:left="3589" w:hanging="363"/>
      </w:pPr>
      <w:rPr>
        <w:rFonts w:hint="default"/>
        <w:b w:val="0"/>
      </w:rPr>
    </w:lvl>
    <w:lvl w:ilvl="8">
      <w:start w:val="1"/>
      <w:numFmt w:val="lowerRoman"/>
      <w:lvlText w:val="%9."/>
      <w:lvlJc w:val="left"/>
      <w:pPr>
        <w:tabs>
          <w:tab w:val="num" w:pos="3946"/>
        </w:tabs>
        <w:ind w:left="3946" w:hanging="357"/>
      </w:pPr>
      <w:rPr>
        <w:rFonts w:hint="default"/>
        <w:b w:val="0"/>
      </w:rPr>
    </w:lvl>
  </w:abstractNum>
  <w:abstractNum w:abstractNumId="14" w15:restartNumberingAfterBreak="0">
    <w:nsid w:val="21E32806"/>
    <w:multiLevelType w:val="multilevel"/>
    <w:tmpl w:val="0E7CEC82"/>
    <w:name w:val="NALT22"/>
    <w:lvl w:ilvl="0">
      <w:start w:val="1"/>
      <w:numFmt w:val="decimal"/>
      <w:lvlText w:val="%1."/>
      <w:lvlJc w:val="left"/>
      <w:pPr>
        <w:tabs>
          <w:tab w:val="num" w:pos="709"/>
        </w:tabs>
        <w:ind w:left="709" w:hanging="709"/>
      </w:pPr>
      <w:rPr>
        <w:b w:val="0"/>
      </w:rPr>
    </w:lvl>
    <w:lvl w:ilvl="1">
      <w:start w:val="1"/>
      <w:numFmt w:val="lowerLetter"/>
      <w:lvlText w:val="(%2)"/>
      <w:lvlJc w:val="left"/>
      <w:pPr>
        <w:tabs>
          <w:tab w:val="num" w:pos="1417"/>
        </w:tabs>
        <w:ind w:left="1417" w:hanging="708"/>
      </w:pPr>
      <w:rPr>
        <w:b w:val="0"/>
      </w:rPr>
    </w:lvl>
    <w:lvl w:ilvl="2">
      <w:start w:val="1"/>
      <w:numFmt w:val="lowerRoman"/>
      <w:lvlText w:val="(%3)"/>
      <w:lvlJc w:val="left"/>
      <w:pPr>
        <w:tabs>
          <w:tab w:val="num" w:pos="2126"/>
        </w:tabs>
        <w:ind w:left="2126" w:hanging="709"/>
      </w:pPr>
      <w:rPr>
        <w:b w:val="0"/>
      </w:rPr>
    </w:lvl>
    <w:lvl w:ilvl="3">
      <w:start w:val="1"/>
      <w:numFmt w:val="decimal"/>
      <w:lvlText w:val="(%4)"/>
      <w:lvlJc w:val="left"/>
      <w:pPr>
        <w:tabs>
          <w:tab w:val="num" w:pos="2835"/>
        </w:tabs>
        <w:ind w:left="2835" w:hanging="709"/>
      </w:pPr>
      <w:rPr>
        <w:b w:val="0"/>
      </w:rPr>
    </w:lvl>
    <w:lvl w:ilvl="4">
      <w:start w:val="1"/>
      <w:numFmt w:val="upperLetter"/>
      <w:lvlText w:val="(%5)"/>
      <w:lvlJc w:val="left"/>
      <w:pPr>
        <w:tabs>
          <w:tab w:val="num" w:pos="3543"/>
        </w:tabs>
        <w:ind w:left="3543" w:hanging="708"/>
      </w:pPr>
      <w:rPr>
        <w:b w:val="0"/>
      </w:rPr>
    </w:lvl>
    <w:lvl w:ilvl="5">
      <w:start w:val="1"/>
      <w:numFmt w:val="upperRoman"/>
      <w:lvlText w:val="(%6)"/>
      <w:lvlJc w:val="left"/>
      <w:pPr>
        <w:tabs>
          <w:tab w:val="num" w:pos="4263"/>
        </w:tabs>
        <w:ind w:left="3969" w:hanging="426"/>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5" w15:restartNumberingAfterBreak="0">
    <w:nsid w:val="22CE607B"/>
    <w:multiLevelType w:val="hybridMultilevel"/>
    <w:tmpl w:val="222E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74E28"/>
    <w:multiLevelType w:val="hybridMultilevel"/>
    <w:tmpl w:val="5AA49CBA"/>
    <w:lvl w:ilvl="0" w:tplc="B8C60BBA">
      <w:numFmt w:val="bullet"/>
      <w:lvlText w:val="•"/>
      <w:lvlJc w:val="left"/>
      <w:pPr>
        <w:ind w:left="1065" w:hanging="7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37B5E"/>
    <w:multiLevelType w:val="multilevel"/>
    <w:tmpl w:val="0E7CEC82"/>
    <w:name w:val="NALT2"/>
    <w:lvl w:ilvl="0">
      <w:start w:val="1"/>
      <w:numFmt w:val="decimal"/>
      <w:lvlText w:val="%1."/>
      <w:lvlJc w:val="left"/>
      <w:pPr>
        <w:tabs>
          <w:tab w:val="num" w:pos="709"/>
        </w:tabs>
        <w:ind w:left="709" w:hanging="709"/>
      </w:pPr>
      <w:rPr>
        <w:b w:val="0"/>
      </w:rPr>
    </w:lvl>
    <w:lvl w:ilvl="1">
      <w:start w:val="1"/>
      <w:numFmt w:val="lowerLetter"/>
      <w:lvlText w:val="(%2)"/>
      <w:lvlJc w:val="left"/>
      <w:pPr>
        <w:tabs>
          <w:tab w:val="num" w:pos="1417"/>
        </w:tabs>
        <w:ind w:left="1417" w:hanging="708"/>
      </w:pPr>
      <w:rPr>
        <w:b w:val="0"/>
      </w:rPr>
    </w:lvl>
    <w:lvl w:ilvl="2">
      <w:start w:val="1"/>
      <w:numFmt w:val="lowerRoman"/>
      <w:lvlText w:val="(%3)"/>
      <w:lvlJc w:val="left"/>
      <w:pPr>
        <w:tabs>
          <w:tab w:val="num" w:pos="2126"/>
        </w:tabs>
        <w:ind w:left="2126" w:hanging="709"/>
      </w:pPr>
      <w:rPr>
        <w:b w:val="0"/>
      </w:rPr>
    </w:lvl>
    <w:lvl w:ilvl="3">
      <w:start w:val="1"/>
      <w:numFmt w:val="decimal"/>
      <w:lvlText w:val="(%4)"/>
      <w:lvlJc w:val="left"/>
      <w:pPr>
        <w:tabs>
          <w:tab w:val="num" w:pos="2835"/>
        </w:tabs>
        <w:ind w:left="2835" w:hanging="709"/>
      </w:pPr>
      <w:rPr>
        <w:b w:val="0"/>
      </w:rPr>
    </w:lvl>
    <w:lvl w:ilvl="4">
      <w:start w:val="1"/>
      <w:numFmt w:val="upperLetter"/>
      <w:lvlText w:val="(%5)"/>
      <w:lvlJc w:val="left"/>
      <w:pPr>
        <w:tabs>
          <w:tab w:val="num" w:pos="3543"/>
        </w:tabs>
        <w:ind w:left="3543" w:hanging="708"/>
      </w:pPr>
      <w:rPr>
        <w:b w:val="0"/>
      </w:rPr>
    </w:lvl>
    <w:lvl w:ilvl="5">
      <w:start w:val="1"/>
      <w:numFmt w:val="upperRoman"/>
      <w:lvlText w:val="(%6)"/>
      <w:lvlJc w:val="left"/>
      <w:pPr>
        <w:tabs>
          <w:tab w:val="num" w:pos="4263"/>
        </w:tabs>
        <w:ind w:left="3969" w:hanging="426"/>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8" w15:restartNumberingAfterBreak="0">
    <w:nsid w:val="3198438D"/>
    <w:multiLevelType w:val="multilevel"/>
    <w:tmpl w:val="F6B419C4"/>
    <w:name w:val="MAMemlstListTemplate"/>
    <w:lvl w:ilvl="0">
      <w:start w:val="1"/>
      <w:numFmt w:val="decimal"/>
      <w:pStyle w:val="MA-MemoLevel4"/>
      <w:lvlText w:val="%1."/>
      <w:lvlJc w:val="left"/>
      <w:pPr>
        <w:tabs>
          <w:tab w:val="num" w:pos="709"/>
        </w:tabs>
        <w:ind w:left="709" w:hanging="709"/>
      </w:pPr>
      <w:rPr>
        <w:b w:val="0"/>
      </w:rPr>
    </w:lvl>
    <w:lvl w:ilvl="1">
      <w:start w:val="1"/>
      <w:numFmt w:val="decimal"/>
      <w:pStyle w:val="MA-MemoLevel5"/>
      <w:lvlText w:val="%1.%2"/>
      <w:lvlJc w:val="left"/>
      <w:pPr>
        <w:tabs>
          <w:tab w:val="num" w:pos="1417"/>
        </w:tabs>
        <w:ind w:left="1417" w:hanging="708"/>
      </w:pPr>
      <w:rPr>
        <w:b w:val="0"/>
      </w:rPr>
    </w:lvl>
    <w:lvl w:ilvl="2">
      <w:start w:val="1"/>
      <w:numFmt w:val="lowerLetter"/>
      <w:pStyle w:val="MA-MemoLevel3"/>
      <w:lvlText w:val="(%3)"/>
      <w:lvlJc w:val="left"/>
      <w:pPr>
        <w:tabs>
          <w:tab w:val="num" w:pos="2126"/>
        </w:tabs>
        <w:ind w:left="2126" w:hanging="709"/>
      </w:pPr>
      <w:rPr>
        <w:b w:val="0"/>
      </w:rPr>
    </w:lvl>
    <w:lvl w:ilvl="3">
      <w:start w:val="1"/>
      <w:numFmt w:val="lowerRoman"/>
      <w:pStyle w:val="MA-MemoLevel4"/>
      <w:lvlText w:val="(%4)"/>
      <w:lvlJc w:val="left"/>
      <w:pPr>
        <w:tabs>
          <w:tab w:val="num" w:pos="2835"/>
        </w:tabs>
        <w:ind w:left="2835" w:hanging="709"/>
      </w:pPr>
      <w:rPr>
        <w:b w:val="0"/>
      </w:rPr>
    </w:lvl>
    <w:lvl w:ilvl="4">
      <w:start w:val="1"/>
      <w:numFmt w:val="decimal"/>
      <w:pStyle w:val="MA-MemoLevel5"/>
      <w:lvlText w:val="(%5)"/>
      <w:lvlJc w:val="left"/>
      <w:pPr>
        <w:tabs>
          <w:tab w:val="num" w:pos="3543"/>
        </w:tabs>
        <w:ind w:left="3543" w:hanging="708"/>
      </w:pPr>
      <w:rPr>
        <w:b w:val="0"/>
      </w:rPr>
    </w:lvl>
    <w:lvl w:ilvl="5">
      <w:start w:val="1"/>
      <w:numFmt w:val="upperLetter"/>
      <w:pStyle w:val="MA-MemoLevel6"/>
      <w:lvlText w:val="(%6)"/>
      <w:lvlJc w:val="left"/>
      <w:pPr>
        <w:tabs>
          <w:tab w:val="num" w:pos="4252"/>
        </w:tabs>
        <w:ind w:left="4252" w:hanging="709"/>
      </w:pPr>
      <w:rPr>
        <w:b w:val="0"/>
      </w:rPr>
    </w:lvl>
    <w:lvl w:ilvl="6">
      <w:start w:val="1"/>
      <w:numFmt w:val="none"/>
      <w:lvlText w:val=""/>
      <w:lvlJc w:val="left"/>
      <w:pPr>
        <w:tabs>
          <w:tab w:val="num" w:pos="3192"/>
        </w:tabs>
        <w:ind w:left="2835" w:firstLine="0"/>
      </w:pPr>
      <w:rPr>
        <w:b w:val="0"/>
      </w:rPr>
    </w:lvl>
    <w:lvl w:ilvl="7">
      <w:start w:val="1"/>
      <w:numFmt w:val="none"/>
      <w:lvlText w:val=""/>
      <w:lvlJc w:val="left"/>
      <w:pPr>
        <w:tabs>
          <w:tab w:val="num" w:pos="3192"/>
        </w:tabs>
        <w:ind w:left="2835" w:firstLine="0"/>
      </w:pPr>
      <w:rPr>
        <w:b w:val="0"/>
      </w:rPr>
    </w:lvl>
    <w:lvl w:ilvl="8">
      <w:start w:val="1"/>
      <w:numFmt w:val="none"/>
      <w:lvlText w:val=""/>
      <w:lvlJc w:val="left"/>
      <w:pPr>
        <w:tabs>
          <w:tab w:val="num" w:pos="3192"/>
        </w:tabs>
        <w:ind w:left="2835" w:firstLine="0"/>
      </w:pPr>
      <w:rPr>
        <w:b w:val="0"/>
      </w:rPr>
    </w:lvl>
  </w:abstractNum>
  <w:abstractNum w:abstractNumId="19" w15:restartNumberingAfterBreak="0">
    <w:nsid w:val="34E16226"/>
    <w:multiLevelType w:val="hybridMultilevel"/>
    <w:tmpl w:val="3F44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245E9"/>
    <w:multiLevelType w:val="multilevel"/>
    <w:tmpl w:val="B60C81CC"/>
    <w:styleLink w:val="NumPara"/>
    <w:lvl w:ilvl="0">
      <w:start w:val="1"/>
      <w:numFmt w:val="none"/>
      <w:pStyle w:val="ssPara"/>
      <w:suff w:val="nothing"/>
      <w:lvlText w:val=""/>
      <w:lvlJc w:val="left"/>
      <w:pPr>
        <w:ind w:left="0" w:firstLine="0"/>
      </w:pPr>
      <w:rPr>
        <w:rFonts w:hint="default"/>
      </w:rPr>
    </w:lvl>
    <w:lvl w:ilvl="1">
      <w:start w:val="1"/>
      <w:numFmt w:val="none"/>
      <w:pStyle w:val="ssPara1"/>
      <w:suff w:val="nothing"/>
      <w:lvlText w:val=""/>
      <w:lvlJc w:val="left"/>
      <w:pPr>
        <w:ind w:left="709" w:firstLine="0"/>
      </w:pPr>
      <w:rPr>
        <w:rFonts w:hint="default"/>
      </w:rPr>
    </w:lvl>
    <w:lvl w:ilvl="2">
      <w:start w:val="1"/>
      <w:numFmt w:val="none"/>
      <w:pStyle w:val="ssPara2"/>
      <w:suff w:val="nothing"/>
      <w:lvlText w:val=""/>
      <w:lvlJc w:val="left"/>
      <w:pPr>
        <w:ind w:left="709" w:firstLine="0"/>
      </w:pPr>
      <w:rPr>
        <w:rFonts w:hint="default"/>
      </w:rPr>
    </w:lvl>
    <w:lvl w:ilvl="3">
      <w:start w:val="1"/>
      <w:numFmt w:val="none"/>
      <w:pStyle w:val="ssPara3"/>
      <w:suff w:val="nothing"/>
      <w:lvlText w:val=""/>
      <w:lvlJc w:val="left"/>
      <w:pPr>
        <w:ind w:left="1418" w:firstLine="0"/>
      </w:pPr>
      <w:rPr>
        <w:rFonts w:hint="default"/>
      </w:rPr>
    </w:lvl>
    <w:lvl w:ilvl="4">
      <w:start w:val="1"/>
      <w:numFmt w:val="none"/>
      <w:pStyle w:val="ssPara4"/>
      <w:suff w:val="nothing"/>
      <w:lvlText w:val=""/>
      <w:lvlJc w:val="left"/>
      <w:pPr>
        <w:ind w:left="1985" w:firstLine="0"/>
      </w:pPr>
      <w:rPr>
        <w:rFonts w:hint="default"/>
      </w:rPr>
    </w:lvl>
    <w:lvl w:ilvl="5">
      <w:start w:val="1"/>
      <w:numFmt w:val="none"/>
      <w:pStyle w:val="ssPara5"/>
      <w:suff w:val="nothing"/>
      <w:lvlText w:val=""/>
      <w:lvlJc w:val="left"/>
      <w:pPr>
        <w:ind w:left="2552" w:firstLine="0"/>
      </w:pPr>
      <w:rPr>
        <w:rFonts w:hint="default"/>
      </w:rPr>
    </w:lvl>
    <w:lvl w:ilvl="6">
      <w:start w:val="1"/>
      <w:numFmt w:val="none"/>
      <w:pStyle w:val="ssPara6"/>
      <w:suff w:val="nothing"/>
      <w:lvlText w:val=""/>
      <w:lvlJc w:val="left"/>
      <w:pPr>
        <w:ind w:left="3119"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BEC12BC"/>
    <w:multiLevelType w:val="multilevel"/>
    <w:tmpl w:val="E76CC95A"/>
    <w:name w:val="SCH3LT"/>
    <w:lvl w:ilvl="0">
      <w:start w:val="1"/>
      <w:numFmt w:val="decimal"/>
      <w:pStyle w:val="SCH3-LEVEL3"/>
      <w:lvlText w:val="%1"/>
      <w:lvlJc w:val="left"/>
      <w:pPr>
        <w:tabs>
          <w:tab w:val="num" w:pos="709"/>
        </w:tabs>
        <w:ind w:left="709" w:hanging="709"/>
      </w:pPr>
      <w:rPr>
        <w:b w:val="0"/>
      </w:rPr>
    </w:lvl>
    <w:lvl w:ilvl="1">
      <w:start w:val="1"/>
      <w:numFmt w:val="decimal"/>
      <w:pStyle w:val="SCH3-LEVEL4"/>
      <w:lvlText w:val="%1.%2"/>
      <w:lvlJc w:val="left"/>
      <w:pPr>
        <w:tabs>
          <w:tab w:val="num" w:pos="709"/>
        </w:tabs>
        <w:ind w:left="709" w:hanging="709"/>
      </w:pPr>
      <w:rPr>
        <w:b w:val="0"/>
      </w:rPr>
    </w:lvl>
    <w:lvl w:ilvl="2">
      <w:start w:val="1"/>
      <w:numFmt w:val="decimal"/>
      <w:pStyle w:val="SCH3-LEVEL3"/>
      <w:lvlText w:val="%1.%2.%3"/>
      <w:lvlJc w:val="left"/>
      <w:pPr>
        <w:tabs>
          <w:tab w:val="num" w:pos="1417"/>
        </w:tabs>
        <w:ind w:left="1417" w:hanging="708"/>
      </w:pPr>
      <w:rPr>
        <w:b w:val="0"/>
      </w:rPr>
    </w:lvl>
    <w:lvl w:ilvl="3">
      <w:start w:val="1"/>
      <w:numFmt w:val="lowerLetter"/>
      <w:pStyle w:val="SCH3-LEVEL4"/>
      <w:lvlText w:val="(%4)"/>
      <w:lvlJc w:val="left"/>
      <w:pPr>
        <w:tabs>
          <w:tab w:val="num" w:pos="2126"/>
        </w:tabs>
        <w:ind w:left="2126" w:hanging="709"/>
      </w:pPr>
      <w:rPr>
        <w:b w:val="0"/>
      </w:rPr>
    </w:lvl>
    <w:lvl w:ilvl="4">
      <w:start w:val="1"/>
      <w:numFmt w:val="lowerRoman"/>
      <w:pStyle w:val="SCH3-LEVEL5"/>
      <w:lvlText w:val="(%5)"/>
      <w:lvlJc w:val="left"/>
      <w:pPr>
        <w:tabs>
          <w:tab w:val="num" w:pos="2835"/>
        </w:tabs>
        <w:ind w:left="2835" w:hanging="709"/>
      </w:pPr>
      <w:rPr>
        <w:b w:val="0"/>
      </w:rPr>
    </w:lvl>
    <w:lvl w:ilvl="5">
      <w:start w:val="1"/>
      <w:numFmt w:val="decimal"/>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2" w15:restartNumberingAfterBreak="0">
    <w:nsid w:val="3E336BD0"/>
    <w:multiLevelType w:val="multilevel"/>
    <w:tmpl w:val="37BC814A"/>
    <w:name w:val="BulletLT"/>
    <w:lvl w:ilvl="0">
      <w:start w:val="1"/>
      <w:numFmt w:val="bullet"/>
      <w:lvlText w:val=""/>
      <w:lvlJc w:val="left"/>
      <w:pPr>
        <w:tabs>
          <w:tab w:val="num" w:pos="709"/>
        </w:tabs>
        <w:ind w:left="709" w:hanging="709"/>
      </w:pPr>
      <w:rPr>
        <w:rFonts w:ascii="Symbol" w:hAnsi="Symbol" w:hint="default"/>
        <w:b w:val="0"/>
        <w:i w:val="0"/>
      </w:rPr>
    </w:lvl>
    <w:lvl w:ilvl="1">
      <w:start w:val="1"/>
      <w:numFmt w:val="bullet"/>
      <w:lvlText w:val=""/>
      <w:lvlJc w:val="left"/>
      <w:pPr>
        <w:tabs>
          <w:tab w:val="num" w:pos="1417"/>
        </w:tabs>
        <w:ind w:left="1417" w:hanging="708"/>
      </w:pPr>
      <w:rPr>
        <w:rFonts w:ascii="Symbol" w:hAnsi="Symbol" w:hint="default"/>
        <w:b w:val="0"/>
        <w:i w:val="0"/>
        <w:u w:val="none"/>
      </w:rPr>
    </w:lvl>
    <w:lvl w:ilvl="2">
      <w:start w:val="1"/>
      <w:numFmt w:val="bullet"/>
      <w:lvlText w:val=""/>
      <w:lvlJc w:val="left"/>
      <w:pPr>
        <w:tabs>
          <w:tab w:val="num" w:pos="2126"/>
        </w:tabs>
        <w:ind w:left="2126" w:hanging="709"/>
      </w:pPr>
      <w:rPr>
        <w:rFonts w:ascii="Symbol" w:hAnsi="Symbol" w:hint="default"/>
        <w:b w:val="0"/>
        <w:i w:val="0"/>
        <w:u w:val="none"/>
      </w:rPr>
    </w:lvl>
    <w:lvl w:ilvl="3">
      <w:start w:val="1"/>
      <w:numFmt w:val="bullet"/>
      <w:lvlText w:val=""/>
      <w:lvlJc w:val="left"/>
      <w:pPr>
        <w:tabs>
          <w:tab w:val="num" w:pos="2835"/>
        </w:tabs>
        <w:ind w:left="2835" w:hanging="709"/>
      </w:pPr>
      <w:rPr>
        <w:rFonts w:ascii="Symbol" w:hAnsi="Symbol" w:hint="default"/>
        <w:b w:val="0"/>
        <w:i w:val="0"/>
        <w:u w:val="none"/>
      </w:rPr>
    </w:lvl>
    <w:lvl w:ilvl="4">
      <w:start w:val="1"/>
      <w:numFmt w:val="bullet"/>
      <w:lvlText w:val=""/>
      <w:lvlJc w:val="left"/>
      <w:pPr>
        <w:tabs>
          <w:tab w:val="num" w:pos="3543"/>
        </w:tabs>
        <w:ind w:left="3543" w:hanging="708"/>
      </w:pPr>
      <w:rPr>
        <w:rFonts w:ascii="Symbol" w:hAnsi="Symbol" w:hint="default"/>
        <w:b w:val="0"/>
        <w:i w:val="0"/>
        <w:u w:val="none"/>
      </w:rPr>
    </w:lvl>
    <w:lvl w:ilvl="5">
      <w:start w:val="1"/>
      <w:numFmt w:val="bullet"/>
      <w:lvlText w:val=""/>
      <w:lvlJc w:val="left"/>
      <w:pPr>
        <w:tabs>
          <w:tab w:val="num" w:pos="4252"/>
        </w:tabs>
        <w:ind w:left="4252" w:hanging="709"/>
      </w:pPr>
      <w:rPr>
        <w:rFonts w:ascii="Symbol" w:hAnsi="Symbol" w:hint="default"/>
        <w:b w:val="0"/>
        <w:i w:val="0"/>
      </w:rPr>
    </w:lvl>
    <w:lvl w:ilvl="6">
      <w:start w:val="1"/>
      <w:numFmt w:val="decimal"/>
      <w:lvlText w:val="%7."/>
      <w:lvlJc w:val="left"/>
      <w:pPr>
        <w:tabs>
          <w:tab w:val="num" w:pos="2517"/>
        </w:tabs>
        <w:ind w:left="2517" w:hanging="357"/>
      </w:pPr>
      <w:rPr>
        <w:b w:val="0"/>
        <w:i w:val="0"/>
      </w:rPr>
    </w:lvl>
    <w:lvl w:ilvl="7">
      <w:start w:val="1"/>
      <w:numFmt w:val="lowerLetter"/>
      <w:lvlText w:val="%8."/>
      <w:lvlJc w:val="left"/>
      <w:pPr>
        <w:tabs>
          <w:tab w:val="num" w:pos="2880"/>
        </w:tabs>
        <w:ind w:left="2880" w:hanging="363"/>
      </w:pPr>
      <w:rPr>
        <w:b w:val="0"/>
        <w:i w:val="0"/>
      </w:rPr>
    </w:lvl>
    <w:lvl w:ilvl="8">
      <w:start w:val="1"/>
      <w:numFmt w:val="lowerRoman"/>
      <w:lvlText w:val="%9."/>
      <w:lvlJc w:val="left"/>
      <w:pPr>
        <w:tabs>
          <w:tab w:val="num" w:pos="3237"/>
        </w:tabs>
        <w:ind w:left="3237" w:hanging="357"/>
      </w:pPr>
      <w:rPr>
        <w:b w:val="0"/>
        <w:i w:val="0"/>
      </w:rPr>
    </w:lvl>
  </w:abstractNum>
  <w:abstractNum w:abstractNumId="23" w15:restartNumberingAfterBreak="0">
    <w:nsid w:val="3E7B2B48"/>
    <w:multiLevelType w:val="multilevel"/>
    <w:tmpl w:val="345AE7CA"/>
    <w:name w:val="RecitalsLT"/>
    <w:lvl w:ilvl="0">
      <w:start w:val="1"/>
      <w:numFmt w:val="upperLetter"/>
      <w:pStyle w:val="A-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4" w15:restartNumberingAfterBreak="0">
    <w:nsid w:val="43584AAE"/>
    <w:multiLevelType w:val="hybridMultilevel"/>
    <w:tmpl w:val="52D6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F335F"/>
    <w:multiLevelType w:val="multilevel"/>
    <w:tmpl w:val="4D6ED900"/>
    <w:name w:val="MAArtsLT"/>
    <w:lvl w:ilvl="0">
      <w:start w:val="1"/>
      <w:numFmt w:val="decimal"/>
      <w:pStyle w:val="MA-ArtsLevel4"/>
      <w:lvlText w:val="%1."/>
      <w:lvlJc w:val="left"/>
      <w:pPr>
        <w:tabs>
          <w:tab w:val="num" w:pos="709"/>
        </w:tabs>
        <w:ind w:left="709" w:hanging="709"/>
      </w:pPr>
      <w:rPr>
        <w:b w:val="0"/>
      </w:rPr>
    </w:lvl>
    <w:lvl w:ilvl="1">
      <w:start w:val="1"/>
      <w:numFmt w:val="decimal"/>
      <w:pStyle w:val="MA-ArtsLevel5"/>
      <w:lvlText w:val="%1.%2"/>
      <w:lvlJc w:val="left"/>
      <w:pPr>
        <w:tabs>
          <w:tab w:val="num" w:pos="709"/>
        </w:tabs>
        <w:ind w:left="709" w:hanging="709"/>
      </w:pPr>
      <w:rPr>
        <w:b w:val="0"/>
      </w:rPr>
    </w:lvl>
    <w:lvl w:ilvl="2">
      <w:start w:val="1"/>
      <w:numFmt w:val="lowerLetter"/>
      <w:pStyle w:val="MA-ArtsLevel3"/>
      <w:lvlText w:val="(%3)"/>
      <w:lvlJc w:val="left"/>
      <w:pPr>
        <w:tabs>
          <w:tab w:val="num" w:pos="1417"/>
        </w:tabs>
        <w:ind w:left="1417" w:hanging="708"/>
      </w:pPr>
      <w:rPr>
        <w:b w:val="0"/>
      </w:rPr>
    </w:lvl>
    <w:lvl w:ilvl="3">
      <w:start w:val="1"/>
      <w:numFmt w:val="lowerRoman"/>
      <w:pStyle w:val="MA-ArtsLevel4"/>
      <w:lvlText w:val="(%4)"/>
      <w:lvlJc w:val="left"/>
      <w:pPr>
        <w:tabs>
          <w:tab w:val="num" w:pos="2126"/>
        </w:tabs>
        <w:ind w:left="2126" w:hanging="709"/>
      </w:pPr>
      <w:rPr>
        <w:b w:val="0"/>
      </w:rPr>
    </w:lvl>
    <w:lvl w:ilvl="4">
      <w:start w:val="1"/>
      <w:numFmt w:val="decimal"/>
      <w:pStyle w:val="MA-ArtsLevel5"/>
      <w:lvlText w:val="(%5)"/>
      <w:lvlJc w:val="left"/>
      <w:pPr>
        <w:tabs>
          <w:tab w:val="num" w:pos="2835"/>
        </w:tabs>
        <w:ind w:left="2835" w:hanging="709"/>
      </w:pPr>
      <w:rPr>
        <w:b w:val="0"/>
      </w:rPr>
    </w:lvl>
    <w:lvl w:ilvl="5">
      <w:start w:val="1"/>
      <w:numFmt w:val="upperLetter"/>
      <w:pStyle w:val="MA-ArtsLevel6"/>
      <w:lvlText w:val="(%6)"/>
      <w:lvlJc w:val="left"/>
      <w:pPr>
        <w:tabs>
          <w:tab w:val="num" w:pos="3543"/>
        </w:tabs>
        <w:ind w:left="3543" w:hanging="708"/>
      </w:pPr>
      <w:rPr>
        <w:b w:val="0"/>
      </w:rPr>
    </w:lvl>
    <w:lvl w:ilvl="6">
      <w:start w:val="1"/>
      <w:numFmt w:val="upperLetter"/>
      <w:lvlText w:val="%7."/>
      <w:lvlJc w:val="left"/>
      <w:pPr>
        <w:tabs>
          <w:tab w:val="num" w:pos="2880"/>
        </w:tabs>
        <w:ind w:left="2880" w:hanging="720"/>
      </w:pPr>
      <w:rPr>
        <w:b w:val="0"/>
      </w:rPr>
    </w:lvl>
    <w:lvl w:ilvl="7">
      <w:start w:val="1"/>
      <w:numFmt w:val="decimal"/>
      <w:lvlText w:val="(%8)"/>
      <w:lvlJc w:val="left"/>
      <w:pPr>
        <w:tabs>
          <w:tab w:val="num" w:pos="3600"/>
        </w:tabs>
        <w:ind w:left="3600" w:hanging="720"/>
      </w:pPr>
      <w:rPr>
        <w:b w:val="0"/>
      </w:rPr>
    </w:lvl>
    <w:lvl w:ilvl="8">
      <w:start w:val="1"/>
      <w:numFmt w:val="decimal"/>
      <w:lvlText w:val="Schedule %9"/>
      <w:lvlJc w:val="left"/>
      <w:pPr>
        <w:tabs>
          <w:tab w:val="num" w:pos="1077"/>
        </w:tabs>
        <w:ind w:left="0" w:firstLine="0"/>
      </w:pPr>
      <w:rPr>
        <w:b w:val="0"/>
      </w:rPr>
    </w:lvl>
  </w:abstractNum>
  <w:abstractNum w:abstractNumId="26" w15:restartNumberingAfterBreak="0">
    <w:nsid w:val="4E1415F1"/>
    <w:multiLevelType w:val="hybridMultilevel"/>
    <w:tmpl w:val="D3ECA414"/>
    <w:lvl w:ilvl="0" w:tplc="370C1CC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723C2"/>
    <w:multiLevelType w:val="multilevel"/>
    <w:tmpl w:val="8C38C7A4"/>
    <w:lvl w:ilvl="0">
      <w:start w:val="1"/>
      <w:numFmt w:val="bullet"/>
      <w:suff w:val="nothing"/>
      <w:lvlText w:val=""/>
      <w:lvlJc w:val="left"/>
      <w:pPr>
        <w:ind w:left="0" w:firstLine="0"/>
      </w:pPr>
      <w:rPr>
        <w:rFonts w:ascii="Wingdings" w:hAnsi="Wingdings" w:hint="default"/>
        <w:b w:val="0"/>
        <w:i w:val="0"/>
        <w:sz w:val="18"/>
      </w:rPr>
    </w:lvl>
    <w:lvl w:ilvl="1">
      <w:start w:val="1"/>
      <w:numFmt w:val="bullet"/>
      <w:lvlText w:val="—"/>
      <w:lvlJc w:val="left"/>
      <w:pPr>
        <w:tabs>
          <w:tab w:val="num" w:pos="284"/>
        </w:tabs>
        <w:ind w:left="284" w:hanging="284"/>
      </w:pPr>
      <w:rPr>
        <w:rFonts w:ascii="Yu Gothic" w:eastAsia="Yu Gothic" w:hAnsi="Yu Gothic" w:hint="eastAsia"/>
        <w:b w:val="0"/>
        <w:i w:val="0"/>
        <w:sz w:val="20"/>
      </w:rPr>
    </w:lvl>
    <w:lvl w:ilvl="2">
      <w:start w:val="1"/>
      <w:numFmt w:val="bullet"/>
      <w:lvlText w:val=""/>
      <w:lvlJc w:val="left"/>
      <w:pPr>
        <w:tabs>
          <w:tab w:val="num" w:pos="2127"/>
        </w:tabs>
        <w:ind w:left="2127" w:hanging="709"/>
      </w:pPr>
      <w:rPr>
        <w:rFonts w:ascii="Wingdings" w:hAnsi="Wingdings" w:hint="default"/>
        <w:b w:val="0"/>
        <w:i w:val="0"/>
        <w:sz w:val="20"/>
      </w:rPr>
    </w:lvl>
    <w:lvl w:ilvl="3">
      <w:start w:val="1"/>
      <w:numFmt w:val="bullet"/>
      <w:lvlText w:val=""/>
      <w:lvlJc w:val="left"/>
      <w:pPr>
        <w:tabs>
          <w:tab w:val="num" w:pos="2836"/>
        </w:tabs>
        <w:ind w:left="2836" w:hanging="709"/>
      </w:pPr>
      <w:rPr>
        <w:rFonts w:ascii="Wingdings" w:hAnsi="Wingdings" w:hint="default"/>
        <w:b w:val="0"/>
        <w:i w:val="0"/>
        <w:sz w:val="20"/>
      </w:rPr>
    </w:lvl>
    <w:lvl w:ilvl="4">
      <w:start w:val="1"/>
      <w:numFmt w:val="bullet"/>
      <w:lvlText w:val=""/>
      <w:lvlJc w:val="left"/>
      <w:pPr>
        <w:tabs>
          <w:tab w:val="num" w:pos="3545"/>
        </w:tabs>
        <w:ind w:left="3545" w:hanging="709"/>
      </w:pPr>
      <w:rPr>
        <w:rFonts w:ascii="Wingdings" w:hAnsi="Wingdings" w:hint="default"/>
        <w:b w:val="0"/>
        <w:i w:val="0"/>
        <w:sz w:val="20"/>
      </w:rPr>
    </w:lvl>
    <w:lvl w:ilvl="5">
      <w:start w:val="1"/>
      <w:numFmt w:val="bullet"/>
      <w:lvlText w:val=""/>
      <w:lvlJc w:val="left"/>
      <w:pPr>
        <w:tabs>
          <w:tab w:val="num" w:pos="4254"/>
        </w:tabs>
        <w:ind w:left="4254" w:hanging="709"/>
      </w:pPr>
      <w:rPr>
        <w:rFonts w:ascii="Wingdings" w:hAnsi="Wingdings" w:hint="default"/>
        <w:b w:val="0"/>
        <w:i w:val="0"/>
        <w:sz w:val="20"/>
      </w:rPr>
    </w:lvl>
    <w:lvl w:ilvl="6">
      <w:start w:val="1"/>
      <w:numFmt w:val="bullet"/>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28" w15:restartNumberingAfterBreak="0">
    <w:nsid w:val="57354D72"/>
    <w:multiLevelType w:val="multilevel"/>
    <w:tmpl w:val="95A20434"/>
    <w:name w:val="SCH3HeadingLT"/>
    <w:lvl w:ilvl="0">
      <w:start w:val="1"/>
      <w:numFmt w:val="decimal"/>
      <w:suff w:val="nothing"/>
      <w:lvlText w:val="Schedule %1"/>
      <w:lvlJc w:val="left"/>
      <w:pPr>
        <w:ind w:left="0" w:firstLine="0"/>
      </w:pPr>
      <w:rPr>
        <w:rFonts w:ascii="Arial" w:hAnsi="Arial" w:hint="default"/>
        <w:b/>
        <w:i w:val="0"/>
        <w:sz w:val="22"/>
      </w:rPr>
    </w:lvl>
    <w:lvl w:ilvl="1">
      <w:start w:val="1"/>
      <w:numFmt w:val="none"/>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6E160B"/>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065B92"/>
    <w:multiLevelType w:val="multilevel"/>
    <w:tmpl w:val="5E405B80"/>
    <w:lvl w:ilvl="0">
      <w:start w:val="1"/>
      <w:numFmt w:val="decimal"/>
      <w:pStyle w:val="PROSPECTUS-LEVEL1"/>
      <w:lvlText w:val="%1"/>
      <w:lvlJc w:val="left"/>
      <w:pPr>
        <w:tabs>
          <w:tab w:val="num" w:pos="709"/>
        </w:tabs>
        <w:ind w:left="709" w:hanging="709"/>
      </w:pPr>
      <w:rPr>
        <w:rFonts w:ascii="Arial Narrow" w:hAnsi="Arial Narrow" w:hint="default"/>
        <w:b w:val="0"/>
        <w:i w:val="0"/>
        <w:sz w:val="32"/>
      </w:rPr>
    </w:lvl>
    <w:lvl w:ilvl="1">
      <w:start w:val="1"/>
      <w:numFmt w:val="decimal"/>
      <w:pStyle w:val="PROSPECTUS-LEVEL2"/>
      <w:lvlText w:val="%1.%2"/>
      <w:lvlJc w:val="left"/>
      <w:pPr>
        <w:tabs>
          <w:tab w:val="num" w:pos="709"/>
        </w:tabs>
        <w:ind w:left="709" w:hanging="709"/>
      </w:pPr>
      <w:rPr>
        <w:rFonts w:ascii="Arial Narrow" w:hAnsi="Arial Narrow" w:hint="default"/>
        <w:b/>
        <w:i w:val="0"/>
        <w:sz w:val="24"/>
      </w:rPr>
    </w:lvl>
    <w:lvl w:ilvl="2">
      <w:start w:val="1"/>
      <w:numFmt w:val="decimal"/>
      <w:lvlText w:val="%1.%2.%3"/>
      <w:lvlJc w:val="left"/>
      <w:pPr>
        <w:tabs>
          <w:tab w:val="num" w:pos="1417"/>
        </w:tabs>
        <w:ind w:left="1417" w:hanging="708"/>
      </w:pPr>
      <w:rPr>
        <w:rFonts w:ascii="Arial" w:hAnsi="Arial" w:hint="default"/>
        <w:b w:val="0"/>
        <w:i w:val="0"/>
        <w:sz w:val="20"/>
      </w:rPr>
    </w:lvl>
    <w:lvl w:ilvl="3">
      <w:start w:val="1"/>
      <w:numFmt w:val="lowerLetter"/>
      <w:lvlText w:val="(%4)"/>
      <w:lvlJc w:val="left"/>
      <w:pPr>
        <w:tabs>
          <w:tab w:val="num" w:pos="2126"/>
        </w:tabs>
        <w:ind w:left="2126" w:hanging="709"/>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decimal"/>
      <w:lvlText w:val="%7."/>
      <w:lvlJc w:val="left"/>
      <w:pPr>
        <w:tabs>
          <w:tab w:val="num" w:pos="3226"/>
        </w:tabs>
        <w:ind w:left="3226" w:hanging="357"/>
      </w:pPr>
      <w:rPr>
        <w:rFonts w:hint="default"/>
        <w:b w:val="0"/>
      </w:rPr>
    </w:lvl>
    <w:lvl w:ilvl="7">
      <w:start w:val="1"/>
      <w:numFmt w:val="lowerLetter"/>
      <w:lvlText w:val="%8."/>
      <w:lvlJc w:val="left"/>
      <w:pPr>
        <w:tabs>
          <w:tab w:val="num" w:pos="3589"/>
        </w:tabs>
        <w:ind w:left="3589" w:hanging="363"/>
      </w:pPr>
      <w:rPr>
        <w:rFonts w:hint="default"/>
        <w:b w:val="0"/>
      </w:rPr>
    </w:lvl>
    <w:lvl w:ilvl="8">
      <w:start w:val="1"/>
      <w:numFmt w:val="lowerRoman"/>
      <w:lvlText w:val="%9."/>
      <w:lvlJc w:val="left"/>
      <w:pPr>
        <w:tabs>
          <w:tab w:val="num" w:pos="3946"/>
        </w:tabs>
        <w:ind w:left="3946" w:hanging="357"/>
      </w:pPr>
      <w:rPr>
        <w:rFonts w:hint="default"/>
        <w:b w:val="0"/>
      </w:rPr>
    </w:lvl>
  </w:abstractNum>
  <w:abstractNum w:abstractNumId="31" w15:restartNumberingAfterBreak="0">
    <w:nsid w:val="5F383D1C"/>
    <w:multiLevelType w:val="hybridMultilevel"/>
    <w:tmpl w:val="6AB40C9A"/>
    <w:name w:val="LT6"/>
    <w:lvl w:ilvl="0" w:tplc="D23A7BC0">
      <w:start w:val="1"/>
      <w:numFmt w:val="bullet"/>
      <w:lvlText w:val=""/>
      <w:lvlJc w:val="left"/>
      <w:pPr>
        <w:tabs>
          <w:tab w:val="left" w:pos="2830"/>
        </w:tabs>
        <w:ind w:left="2830" w:hanging="420"/>
      </w:pPr>
      <w:rPr>
        <w:rFonts w:ascii="Symbol" w:hAnsi="Symbol" w:cs="Symbol"/>
        <w:strike w:val="0"/>
        <w:dstrike w:val="0"/>
        <w:color w:val="auto"/>
      </w:rPr>
    </w:lvl>
    <w:lvl w:ilvl="1" w:tplc="18302D1E">
      <w:start w:val="1"/>
      <w:numFmt w:val="bullet"/>
      <w:lvlText w:val=""/>
      <w:lvlJc w:val="left"/>
      <w:pPr>
        <w:tabs>
          <w:tab w:val="left" w:pos="1440"/>
        </w:tabs>
        <w:ind w:left="1440" w:hanging="360"/>
      </w:pPr>
      <w:rPr>
        <w:rFonts w:ascii="Wingdings" w:hAnsi="Wingdings" w:cs="Wingdings"/>
        <w:strike w:val="0"/>
        <w:dstrike w:val="0"/>
        <w:color w:val="003300"/>
      </w:rPr>
    </w:lvl>
    <w:lvl w:ilvl="2" w:tplc="34949B7E">
      <w:start w:val="1"/>
      <w:numFmt w:val="bullet"/>
      <w:lvlText w:val=""/>
      <w:lvlJc w:val="left"/>
      <w:pPr>
        <w:tabs>
          <w:tab w:val="left" w:pos="2160"/>
        </w:tabs>
        <w:ind w:left="2160" w:hanging="360"/>
      </w:pPr>
      <w:rPr>
        <w:rFonts w:ascii="Wingdings" w:hAnsi="Wingdings" w:cs="Wingdings"/>
        <w:strike w:val="0"/>
        <w:dstrike w:val="0"/>
      </w:rPr>
    </w:lvl>
    <w:lvl w:ilvl="3" w:tplc="B4DE5F96">
      <w:start w:val="1"/>
      <w:numFmt w:val="bullet"/>
      <w:lvlText w:val=""/>
      <w:lvlJc w:val="left"/>
      <w:pPr>
        <w:tabs>
          <w:tab w:val="left" w:pos="2880"/>
        </w:tabs>
        <w:ind w:left="2880" w:hanging="360"/>
      </w:pPr>
      <w:rPr>
        <w:rFonts w:ascii="Symbol" w:hAnsi="Symbol" w:cs="Symbol"/>
        <w:strike w:val="0"/>
        <w:dstrike w:val="0"/>
      </w:rPr>
    </w:lvl>
    <w:lvl w:ilvl="4" w:tplc="883CE464">
      <w:start w:val="1"/>
      <w:numFmt w:val="bullet"/>
      <w:lvlText w:val="o"/>
      <w:lvlJc w:val="left"/>
      <w:pPr>
        <w:tabs>
          <w:tab w:val="left" w:pos="3600"/>
        </w:tabs>
        <w:ind w:left="3600" w:hanging="360"/>
      </w:pPr>
      <w:rPr>
        <w:rFonts w:ascii="Courier New" w:hAnsi="Courier New" w:cs="Courier New"/>
        <w:strike w:val="0"/>
        <w:dstrike w:val="0"/>
      </w:rPr>
    </w:lvl>
    <w:lvl w:ilvl="5" w:tplc="6A107CBA">
      <w:start w:val="1"/>
      <w:numFmt w:val="bullet"/>
      <w:lvlText w:val=""/>
      <w:lvlJc w:val="left"/>
      <w:pPr>
        <w:tabs>
          <w:tab w:val="left" w:pos="4320"/>
        </w:tabs>
        <w:ind w:left="4320" w:hanging="360"/>
      </w:pPr>
      <w:rPr>
        <w:rFonts w:ascii="Wingdings" w:hAnsi="Wingdings" w:cs="Wingdings"/>
        <w:strike w:val="0"/>
        <w:dstrike w:val="0"/>
      </w:rPr>
    </w:lvl>
    <w:lvl w:ilvl="6" w:tplc="8A288360">
      <w:start w:val="1"/>
      <w:numFmt w:val="bullet"/>
      <w:lvlText w:val=""/>
      <w:lvlJc w:val="left"/>
      <w:pPr>
        <w:tabs>
          <w:tab w:val="left" w:pos="5040"/>
        </w:tabs>
        <w:ind w:left="5040" w:hanging="360"/>
      </w:pPr>
      <w:rPr>
        <w:rFonts w:ascii="Symbol" w:hAnsi="Symbol" w:cs="Symbol"/>
        <w:strike w:val="0"/>
        <w:dstrike w:val="0"/>
      </w:rPr>
    </w:lvl>
    <w:lvl w:ilvl="7" w:tplc="6B0AF550">
      <w:start w:val="1"/>
      <w:numFmt w:val="bullet"/>
      <w:lvlText w:val="o"/>
      <w:lvlJc w:val="left"/>
      <w:pPr>
        <w:tabs>
          <w:tab w:val="left" w:pos="5760"/>
        </w:tabs>
        <w:ind w:left="5760" w:hanging="360"/>
      </w:pPr>
      <w:rPr>
        <w:rFonts w:ascii="Courier New" w:hAnsi="Courier New" w:cs="Courier New"/>
        <w:strike w:val="0"/>
        <w:dstrike w:val="0"/>
      </w:rPr>
    </w:lvl>
    <w:lvl w:ilvl="8" w:tplc="972CFFE2">
      <w:start w:val="1"/>
      <w:numFmt w:val="bullet"/>
      <w:lvlText w:val=""/>
      <w:lvlJc w:val="left"/>
      <w:pPr>
        <w:tabs>
          <w:tab w:val="left" w:pos="6480"/>
        </w:tabs>
        <w:ind w:left="6480" w:hanging="360"/>
      </w:pPr>
      <w:rPr>
        <w:rFonts w:ascii="Wingdings" w:hAnsi="Wingdings" w:cs="Wingdings"/>
        <w:strike w:val="0"/>
        <w:dstrike w:val="0"/>
      </w:rPr>
    </w:lvl>
  </w:abstractNum>
  <w:abstractNum w:abstractNumId="32" w15:restartNumberingAfterBreak="0">
    <w:nsid w:val="635B6DDE"/>
    <w:multiLevelType w:val="hybridMultilevel"/>
    <w:tmpl w:val="735A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818DC"/>
    <w:multiLevelType w:val="multilevel"/>
    <w:tmpl w:val="0B1470DE"/>
    <w:lvl w:ilvl="0">
      <w:start w:val="1"/>
      <w:numFmt w:val="decimal"/>
      <w:pStyle w:val="1-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4" w15:restartNumberingAfterBreak="0">
    <w:nsid w:val="674D4E70"/>
    <w:multiLevelType w:val="multilevel"/>
    <w:tmpl w:val="8B6C24E6"/>
    <w:lvl w:ilvl="0">
      <w:start w:val="1"/>
      <w:numFmt w:val="decimal"/>
      <w:lvlText w:val="%1"/>
      <w:lvlJc w:val="left"/>
      <w:pPr>
        <w:tabs>
          <w:tab w:val="num" w:pos="709"/>
        </w:tabs>
        <w:ind w:left="709" w:hanging="709"/>
      </w:pPr>
      <w:rPr>
        <w:b w:val="0"/>
      </w:rPr>
    </w:lvl>
    <w:lvl w:ilvl="1">
      <w:start w:val="1"/>
      <w:numFmt w:val="decimal"/>
      <w:pStyle w:val="SCH-LEVEL4"/>
      <w:lvlText w:val="%1.%2"/>
      <w:lvlJc w:val="left"/>
      <w:pPr>
        <w:tabs>
          <w:tab w:val="num" w:pos="709"/>
        </w:tabs>
        <w:ind w:left="709" w:hanging="709"/>
      </w:pPr>
      <w:rPr>
        <w:b w:val="0"/>
      </w:rPr>
    </w:lvl>
    <w:lvl w:ilvl="2">
      <w:start w:val="1"/>
      <w:numFmt w:val="decimal"/>
      <w:pStyle w:val="SCH-LEVEL5"/>
      <w:lvlText w:val="%1.%2.%3"/>
      <w:lvlJc w:val="left"/>
      <w:pPr>
        <w:tabs>
          <w:tab w:val="num" w:pos="1417"/>
        </w:tabs>
        <w:ind w:left="1417" w:hanging="708"/>
      </w:pPr>
      <w:rPr>
        <w:b w:val="0"/>
      </w:rPr>
    </w:lvl>
    <w:lvl w:ilvl="3">
      <w:start w:val="1"/>
      <w:numFmt w:val="lowerLetter"/>
      <w:pStyle w:val="SCH-LEVEL4"/>
      <w:lvlText w:val="(%4)"/>
      <w:lvlJc w:val="left"/>
      <w:pPr>
        <w:tabs>
          <w:tab w:val="num" w:pos="2126"/>
        </w:tabs>
        <w:ind w:left="2126" w:hanging="709"/>
      </w:pPr>
      <w:rPr>
        <w:b w:val="0"/>
      </w:rPr>
    </w:lvl>
    <w:lvl w:ilvl="4">
      <w:start w:val="1"/>
      <w:numFmt w:val="lowerRoman"/>
      <w:pStyle w:val="SCH-LEVEL5"/>
      <w:lvlText w:val="(%5)"/>
      <w:lvlJc w:val="left"/>
      <w:pPr>
        <w:tabs>
          <w:tab w:val="num" w:pos="2835"/>
        </w:tabs>
        <w:ind w:left="2835" w:hanging="709"/>
      </w:pPr>
      <w:rPr>
        <w:b w:val="0"/>
      </w:rPr>
    </w:lvl>
    <w:lvl w:ilvl="5">
      <w:start w:val="1"/>
      <w:numFmt w:val="decimal"/>
      <w:pStyle w:val="SCH-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5" w15:restartNumberingAfterBreak="0">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9E37EB0"/>
    <w:multiLevelType w:val="hybridMultilevel"/>
    <w:tmpl w:val="06C4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00A64"/>
    <w:multiLevelType w:val="multilevel"/>
    <w:tmpl w:val="B60C81CC"/>
    <w:numStyleLink w:val="NumPara"/>
  </w:abstractNum>
  <w:abstractNum w:abstractNumId="38" w15:restartNumberingAfterBreak="0">
    <w:nsid w:val="70507009"/>
    <w:multiLevelType w:val="multilevel"/>
    <w:tmpl w:val="FF645AA8"/>
    <w:name w:val="PartiesLT"/>
    <w:lvl w:ilvl="0">
      <w:start w:val="1"/>
      <w:numFmt w:val="decimal"/>
      <w:pStyle w:val="SCH2-LEVEL3"/>
      <w:lvlText w:val="%1"/>
      <w:lvlJc w:val="left"/>
      <w:pPr>
        <w:tabs>
          <w:tab w:val="num" w:pos="709"/>
        </w:tabs>
        <w:ind w:left="709" w:hanging="709"/>
      </w:pPr>
      <w:rPr>
        <w:b w:val="0"/>
      </w:rPr>
    </w:lvl>
    <w:lvl w:ilvl="1">
      <w:start w:val="1"/>
      <w:numFmt w:val="decimal"/>
      <w:pStyle w:val="SCH2-LEVEL4"/>
      <w:lvlText w:val="%1.%2"/>
      <w:lvlJc w:val="left"/>
      <w:pPr>
        <w:tabs>
          <w:tab w:val="num" w:pos="709"/>
        </w:tabs>
        <w:ind w:left="709" w:hanging="709"/>
      </w:pPr>
      <w:rPr>
        <w:b w:val="0"/>
      </w:rPr>
    </w:lvl>
    <w:lvl w:ilvl="2">
      <w:start w:val="1"/>
      <w:numFmt w:val="decimal"/>
      <w:pStyle w:val="SCH2-LEVEL3"/>
      <w:lvlText w:val="%1.%2.%3"/>
      <w:lvlJc w:val="left"/>
      <w:pPr>
        <w:tabs>
          <w:tab w:val="num" w:pos="1417"/>
        </w:tabs>
        <w:ind w:left="1417" w:hanging="708"/>
      </w:pPr>
      <w:rPr>
        <w:b w:val="0"/>
      </w:rPr>
    </w:lvl>
    <w:lvl w:ilvl="3">
      <w:start w:val="1"/>
      <w:numFmt w:val="lowerLetter"/>
      <w:pStyle w:val="SCH2-LEVEL4"/>
      <w:lvlText w:val="(%4)"/>
      <w:lvlJc w:val="left"/>
      <w:pPr>
        <w:tabs>
          <w:tab w:val="num" w:pos="2126"/>
        </w:tabs>
        <w:ind w:left="2126" w:hanging="709"/>
      </w:pPr>
      <w:rPr>
        <w:b w:val="0"/>
      </w:rPr>
    </w:lvl>
    <w:lvl w:ilvl="4">
      <w:start w:val="1"/>
      <w:numFmt w:val="lowerRoman"/>
      <w:pStyle w:val="SCH2-LEVEL5"/>
      <w:lvlText w:val="(%5)"/>
      <w:lvlJc w:val="left"/>
      <w:pPr>
        <w:tabs>
          <w:tab w:val="num" w:pos="2835"/>
        </w:tabs>
        <w:ind w:left="2835" w:hanging="709"/>
      </w:pPr>
      <w:rPr>
        <w:b w:val="0"/>
      </w:rPr>
    </w:lvl>
    <w:lvl w:ilvl="5">
      <w:start w:val="1"/>
      <w:numFmt w:val="decimal"/>
      <w:pStyle w:val="SCH2-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9" w15:restartNumberingAfterBreak="0">
    <w:nsid w:val="759E7176"/>
    <w:multiLevelType w:val="hybridMultilevel"/>
    <w:tmpl w:val="CD00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3A6787"/>
    <w:multiLevelType w:val="multilevel"/>
    <w:tmpl w:val="0E7CEC82"/>
    <w:name w:val="SCHLT"/>
    <w:lvl w:ilvl="0">
      <w:start w:val="1"/>
      <w:numFmt w:val="decimal"/>
      <w:pStyle w:val="NA-LEVEL1"/>
      <w:lvlText w:val="%1."/>
      <w:lvlJc w:val="left"/>
      <w:pPr>
        <w:tabs>
          <w:tab w:val="num" w:pos="709"/>
        </w:tabs>
        <w:ind w:left="709" w:hanging="709"/>
      </w:pPr>
      <w:rPr>
        <w:b w:val="0"/>
      </w:rPr>
    </w:lvl>
    <w:lvl w:ilvl="1">
      <w:start w:val="1"/>
      <w:numFmt w:val="lowerLetter"/>
      <w:pStyle w:val="NA-LEVEL2"/>
      <w:lvlText w:val="(%2)"/>
      <w:lvlJc w:val="left"/>
      <w:pPr>
        <w:tabs>
          <w:tab w:val="num" w:pos="1417"/>
        </w:tabs>
        <w:ind w:left="1417" w:hanging="708"/>
      </w:pPr>
      <w:rPr>
        <w:b w:val="0"/>
      </w:rPr>
    </w:lvl>
    <w:lvl w:ilvl="2">
      <w:start w:val="1"/>
      <w:numFmt w:val="lowerRoman"/>
      <w:pStyle w:val="NA-LEVEL3"/>
      <w:lvlText w:val="(%3)"/>
      <w:lvlJc w:val="left"/>
      <w:pPr>
        <w:tabs>
          <w:tab w:val="num" w:pos="2126"/>
        </w:tabs>
        <w:ind w:left="2126" w:hanging="709"/>
      </w:pPr>
      <w:rPr>
        <w:b w:val="0"/>
      </w:rPr>
    </w:lvl>
    <w:lvl w:ilvl="3">
      <w:start w:val="1"/>
      <w:numFmt w:val="decimal"/>
      <w:lvlText w:val="(%4)"/>
      <w:lvlJc w:val="left"/>
      <w:pPr>
        <w:tabs>
          <w:tab w:val="num" w:pos="2835"/>
        </w:tabs>
        <w:ind w:left="2835" w:hanging="709"/>
      </w:pPr>
      <w:rPr>
        <w:b w:val="0"/>
      </w:rPr>
    </w:lvl>
    <w:lvl w:ilvl="4">
      <w:start w:val="1"/>
      <w:numFmt w:val="upperLetter"/>
      <w:lvlText w:val="(%5)"/>
      <w:lvlJc w:val="left"/>
      <w:pPr>
        <w:tabs>
          <w:tab w:val="num" w:pos="3543"/>
        </w:tabs>
        <w:ind w:left="3543" w:hanging="708"/>
      </w:pPr>
      <w:rPr>
        <w:b w:val="0"/>
      </w:rPr>
    </w:lvl>
    <w:lvl w:ilvl="5">
      <w:start w:val="1"/>
      <w:numFmt w:val="upperRoman"/>
      <w:pStyle w:val="NA-LEVEL6"/>
      <w:lvlText w:val="(%6)"/>
      <w:lvlJc w:val="left"/>
      <w:pPr>
        <w:tabs>
          <w:tab w:val="num" w:pos="4263"/>
        </w:tabs>
        <w:ind w:left="3969" w:hanging="426"/>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num w:numId="1" w16cid:durableId="1371956219">
    <w:abstractNumId w:val="9"/>
  </w:num>
  <w:num w:numId="2" w16cid:durableId="1004208895">
    <w:abstractNumId w:val="7"/>
  </w:num>
  <w:num w:numId="3" w16cid:durableId="132451763">
    <w:abstractNumId w:val="6"/>
  </w:num>
  <w:num w:numId="4" w16cid:durableId="1527018945">
    <w:abstractNumId w:val="5"/>
  </w:num>
  <w:num w:numId="5" w16cid:durableId="954480421">
    <w:abstractNumId w:val="4"/>
  </w:num>
  <w:num w:numId="6" w16cid:durableId="1319460757">
    <w:abstractNumId w:val="8"/>
  </w:num>
  <w:num w:numId="7" w16cid:durableId="798963265">
    <w:abstractNumId w:val="3"/>
  </w:num>
  <w:num w:numId="8" w16cid:durableId="986320089">
    <w:abstractNumId w:val="2"/>
  </w:num>
  <w:num w:numId="9" w16cid:durableId="607350230">
    <w:abstractNumId w:val="1"/>
  </w:num>
  <w:num w:numId="10" w16cid:durableId="885487717">
    <w:abstractNumId w:val="0"/>
  </w:num>
  <w:num w:numId="11" w16cid:durableId="1528446629">
    <w:abstractNumId w:val="12"/>
  </w:num>
  <w:num w:numId="12" w16cid:durableId="1296760964">
    <w:abstractNumId w:val="25"/>
  </w:num>
  <w:num w:numId="13" w16cid:durableId="83116727">
    <w:abstractNumId w:val="18"/>
  </w:num>
  <w:num w:numId="14" w16cid:durableId="960191879">
    <w:abstractNumId w:val="40"/>
  </w:num>
  <w:num w:numId="15" w16cid:durableId="181285122">
    <w:abstractNumId w:val="33"/>
  </w:num>
  <w:num w:numId="16" w16cid:durableId="1245643863">
    <w:abstractNumId w:val="23"/>
  </w:num>
  <w:num w:numId="17" w16cid:durableId="1663266447">
    <w:abstractNumId w:val="34"/>
  </w:num>
  <w:num w:numId="18" w16cid:durableId="1381399704">
    <w:abstractNumId w:val="38"/>
  </w:num>
  <w:num w:numId="19" w16cid:durableId="1763181470">
    <w:abstractNumId w:val="21"/>
  </w:num>
  <w:num w:numId="20" w16cid:durableId="108625874">
    <w:abstractNumId w:val="30"/>
  </w:num>
  <w:num w:numId="21" w16cid:durableId="2128813000">
    <w:abstractNumId w:val="35"/>
  </w:num>
  <w:num w:numId="22" w16cid:durableId="896548197">
    <w:abstractNumId w:val="29"/>
  </w:num>
  <w:num w:numId="23" w16cid:durableId="290601442">
    <w:abstractNumId w:val="16"/>
  </w:num>
  <w:num w:numId="24" w16cid:durableId="590550388">
    <w:abstractNumId w:val="11"/>
  </w:num>
  <w:num w:numId="25" w16cid:durableId="132259614">
    <w:abstractNumId w:val="10"/>
  </w:num>
  <w:num w:numId="26" w16cid:durableId="709841224">
    <w:abstractNumId w:val="27"/>
  </w:num>
  <w:num w:numId="27" w16cid:durableId="1866404972">
    <w:abstractNumId w:val="24"/>
  </w:num>
  <w:num w:numId="28" w16cid:durableId="971058843">
    <w:abstractNumId w:val="36"/>
  </w:num>
  <w:num w:numId="29" w16cid:durableId="580453088">
    <w:abstractNumId w:val="32"/>
  </w:num>
  <w:num w:numId="30" w16cid:durableId="71514978">
    <w:abstractNumId w:val="20"/>
  </w:num>
  <w:num w:numId="31" w16cid:durableId="1181167710">
    <w:abstractNumId w:val="37"/>
  </w:num>
  <w:num w:numId="32" w16cid:durableId="1663073856">
    <w:abstractNumId w:val="19"/>
  </w:num>
  <w:num w:numId="33" w16cid:durableId="381485475">
    <w:abstractNumId w:val="39"/>
  </w:num>
  <w:num w:numId="34" w16cid:durableId="1047920724">
    <w:abstractNumId w:val="24"/>
  </w:num>
  <w:num w:numId="35" w16cid:durableId="545070872">
    <w:abstractNumId w:val="15"/>
  </w:num>
  <w:num w:numId="36" w16cid:durableId="63182622">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xNLEwMzA1M7c0M7RQ0lEKTi0uzszPAykwNK0FAKcc+lwtAAAA"/>
  </w:docVars>
  <w:rsids>
    <w:rsidRoot w:val="00B31887"/>
    <w:rsid w:val="00001280"/>
    <w:rsid w:val="00005243"/>
    <w:rsid w:val="000052D3"/>
    <w:rsid w:val="00006DA7"/>
    <w:rsid w:val="000074B7"/>
    <w:rsid w:val="00007AD3"/>
    <w:rsid w:val="00007DF8"/>
    <w:rsid w:val="0001133E"/>
    <w:rsid w:val="00011F1C"/>
    <w:rsid w:val="00012D56"/>
    <w:rsid w:val="00016795"/>
    <w:rsid w:val="00016AC2"/>
    <w:rsid w:val="000209CE"/>
    <w:rsid w:val="00020EE0"/>
    <w:rsid w:val="000210C7"/>
    <w:rsid w:val="00023AF7"/>
    <w:rsid w:val="00023C73"/>
    <w:rsid w:val="00025589"/>
    <w:rsid w:val="0002767F"/>
    <w:rsid w:val="00030432"/>
    <w:rsid w:val="0003089B"/>
    <w:rsid w:val="00032D6C"/>
    <w:rsid w:val="00037594"/>
    <w:rsid w:val="00041AE9"/>
    <w:rsid w:val="00044F6E"/>
    <w:rsid w:val="00045DA9"/>
    <w:rsid w:val="00046A99"/>
    <w:rsid w:val="000506D7"/>
    <w:rsid w:val="000511E0"/>
    <w:rsid w:val="00051356"/>
    <w:rsid w:val="00051945"/>
    <w:rsid w:val="00051983"/>
    <w:rsid w:val="000525FB"/>
    <w:rsid w:val="00052C48"/>
    <w:rsid w:val="00054C90"/>
    <w:rsid w:val="00054EC5"/>
    <w:rsid w:val="00055453"/>
    <w:rsid w:val="0005555A"/>
    <w:rsid w:val="000568F0"/>
    <w:rsid w:val="000575F4"/>
    <w:rsid w:val="0005799F"/>
    <w:rsid w:val="00057CBF"/>
    <w:rsid w:val="000601AF"/>
    <w:rsid w:val="00060DB5"/>
    <w:rsid w:val="00061375"/>
    <w:rsid w:val="00062B10"/>
    <w:rsid w:val="00062B2F"/>
    <w:rsid w:val="0006429F"/>
    <w:rsid w:val="0006467B"/>
    <w:rsid w:val="00065084"/>
    <w:rsid w:val="000657C3"/>
    <w:rsid w:val="00070EB9"/>
    <w:rsid w:val="0007263E"/>
    <w:rsid w:val="000726E5"/>
    <w:rsid w:val="00072D6D"/>
    <w:rsid w:val="00073D03"/>
    <w:rsid w:val="00075ADA"/>
    <w:rsid w:val="00076075"/>
    <w:rsid w:val="000769B1"/>
    <w:rsid w:val="00080D76"/>
    <w:rsid w:val="00080F32"/>
    <w:rsid w:val="00081089"/>
    <w:rsid w:val="000820D8"/>
    <w:rsid w:val="00082D26"/>
    <w:rsid w:val="000849B3"/>
    <w:rsid w:val="00085301"/>
    <w:rsid w:val="0008627F"/>
    <w:rsid w:val="000863AD"/>
    <w:rsid w:val="00086AD2"/>
    <w:rsid w:val="00087137"/>
    <w:rsid w:val="00090FB8"/>
    <w:rsid w:val="0009197D"/>
    <w:rsid w:val="00093855"/>
    <w:rsid w:val="00093D6E"/>
    <w:rsid w:val="00093E89"/>
    <w:rsid w:val="00094438"/>
    <w:rsid w:val="00094F44"/>
    <w:rsid w:val="0009527D"/>
    <w:rsid w:val="000954CD"/>
    <w:rsid w:val="00095573"/>
    <w:rsid w:val="00096A57"/>
    <w:rsid w:val="0009743B"/>
    <w:rsid w:val="00097F39"/>
    <w:rsid w:val="000A089E"/>
    <w:rsid w:val="000A1B38"/>
    <w:rsid w:val="000A3318"/>
    <w:rsid w:val="000A33D6"/>
    <w:rsid w:val="000A5717"/>
    <w:rsid w:val="000A6066"/>
    <w:rsid w:val="000A7F4B"/>
    <w:rsid w:val="000B1929"/>
    <w:rsid w:val="000B2DDC"/>
    <w:rsid w:val="000B4102"/>
    <w:rsid w:val="000B41D3"/>
    <w:rsid w:val="000C08E1"/>
    <w:rsid w:val="000C149A"/>
    <w:rsid w:val="000C17B3"/>
    <w:rsid w:val="000C3775"/>
    <w:rsid w:val="000C5247"/>
    <w:rsid w:val="000C6EB8"/>
    <w:rsid w:val="000C749A"/>
    <w:rsid w:val="000C79DE"/>
    <w:rsid w:val="000D0153"/>
    <w:rsid w:val="000D0A68"/>
    <w:rsid w:val="000D15D2"/>
    <w:rsid w:val="000D24F4"/>
    <w:rsid w:val="000D3747"/>
    <w:rsid w:val="000D5123"/>
    <w:rsid w:val="000D5A76"/>
    <w:rsid w:val="000D6F74"/>
    <w:rsid w:val="000D7255"/>
    <w:rsid w:val="000D78E0"/>
    <w:rsid w:val="000E2EA7"/>
    <w:rsid w:val="000E3061"/>
    <w:rsid w:val="000E3489"/>
    <w:rsid w:val="000E4825"/>
    <w:rsid w:val="000E714D"/>
    <w:rsid w:val="000E77B7"/>
    <w:rsid w:val="000F152A"/>
    <w:rsid w:val="000F1A39"/>
    <w:rsid w:val="000F3A64"/>
    <w:rsid w:val="000F3FF6"/>
    <w:rsid w:val="000F4CA1"/>
    <w:rsid w:val="000F763F"/>
    <w:rsid w:val="000F7A7E"/>
    <w:rsid w:val="00101D92"/>
    <w:rsid w:val="00101F25"/>
    <w:rsid w:val="001024E8"/>
    <w:rsid w:val="00105666"/>
    <w:rsid w:val="00105B24"/>
    <w:rsid w:val="001106BD"/>
    <w:rsid w:val="001114C8"/>
    <w:rsid w:val="00111905"/>
    <w:rsid w:val="001120DC"/>
    <w:rsid w:val="00112ABD"/>
    <w:rsid w:val="00115148"/>
    <w:rsid w:val="00115731"/>
    <w:rsid w:val="00115816"/>
    <w:rsid w:val="0011657F"/>
    <w:rsid w:val="00116F5C"/>
    <w:rsid w:val="00120FC9"/>
    <w:rsid w:val="00121DB1"/>
    <w:rsid w:val="00122794"/>
    <w:rsid w:val="00122DD8"/>
    <w:rsid w:val="001242DC"/>
    <w:rsid w:val="00124AFB"/>
    <w:rsid w:val="00125C4B"/>
    <w:rsid w:val="001273A2"/>
    <w:rsid w:val="00132F73"/>
    <w:rsid w:val="00134A62"/>
    <w:rsid w:val="00134D14"/>
    <w:rsid w:val="0013633F"/>
    <w:rsid w:val="001410CD"/>
    <w:rsid w:val="00141D82"/>
    <w:rsid w:val="00142F9A"/>
    <w:rsid w:val="001442E5"/>
    <w:rsid w:val="00151D52"/>
    <w:rsid w:val="0015201F"/>
    <w:rsid w:val="00152427"/>
    <w:rsid w:val="0015301E"/>
    <w:rsid w:val="001536E5"/>
    <w:rsid w:val="001542DC"/>
    <w:rsid w:val="0015433C"/>
    <w:rsid w:val="00154D88"/>
    <w:rsid w:val="001551F6"/>
    <w:rsid w:val="00155BED"/>
    <w:rsid w:val="00156B7F"/>
    <w:rsid w:val="00157867"/>
    <w:rsid w:val="001615F0"/>
    <w:rsid w:val="00161BFE"/>
    <w:rsid w:val="00162A3B"/>
    <w:rsid w:val="00163194"/>
    <w:rsid w:val="0016363E"/>
    <w:rsid w:val="00164DF5"/>
    <w:rsid w:val="00165B4E"/>
    <w:rsid w:val="001663D8"/>
    <w:rsid w:val="0016706E"/>
    <w:rsid w:val="00170277"/>
    <w:rsid w:val="0017076D"/>
    <w:rsid w:val="00171424"/>
    <w:rsid w:val="001735C9"/>
    <w:rsid w:val="00173985"/>
    <w:rsid w:val="00173F1F"/>
    <w:rsid w:val="0017415D"/>
    <w:rsid w:val="001746B5"/>
    <w:rsid w:val="001751A5"/>
    <w:rsid w:val="00176ED7"/>
    <w:rsid w:val="00176FDF"/>
    <w:rsid w:val="0017712E"/>
    <w:rsid w:val="00180174"/>
    <w:rsid w:val="00180782"/>
    <w:rsid w:val="00180A3F"/>
    <w:rsid w:val="00180B29"/>
    <w:rsid w:val="001817BB"/>
    <w:rsid w:val="001817DE"/>
    <w:rsid w:val="00181CAF"/>
    <w:rsid w:val="00182CE8"/>
    <w:rsid w:val="00183628"/>
    <w:rsid w:val="00187CEE"/>
    <w:rsid w:val="0019090E"/>
    <w:rsid w:val="00192332"/>
    <w:rsid w:val="00193238"/>
    <w:rsid w:val="0019469B"/>
    <w:rsid w:val="00195036"/>
    <w:rsid w:val="001978E4"/>
    <w:rsid w:val="00197AD2"/>
    <w:rsid w:val="001A2D4D"/>
    <w:rsid w:val="001A5ADF"/>
    <w:rsid w:val="001A634E"/>
    <w:rsid w:val="001B041E"/>
    <w:rsid w:val="001B15D7"/>
    <w:rsid w:val="001B2566"/>
    <w:rsid w:val="001B3661"/>
    <w:rsid w:val="001B47EA"/>
    <w:rsid w:val="001B5105"/>
    <w:rsid w:val="001B58F9"/>
    <w:rsid w:val="001B657D"/>
    <w:rsid w:val="001B71E4"/>
    <w:rsid w:val="001B7E90"/>
    <w:rsid w:val="001B7EF9"/>
    <w:rsid w:val="001C0605"/>
    <w:rsid w:val="001C0B33"/>
    <w:rsid w:val="001C2A03"/>
    <w:rsid w:val="001C3A3E"/>
    <w:rsid w:val="001C4D7C"/>
    <w:rsid w:val="001D2AD4"/>
    <w:rsid w:val="001D3B48"/>
    <w:rsid w:val="001D4453"/>
    <w:rsid w:val="001D495A"/>
    <w:rsid w:val="001D4A69"/>
    <w:rsid w:val="001E1B40"/>
    <w:rsid w:val="001E1B63"/>
    <w:rsid w:val="001E1D00"/>
    <w:rsid w:val="001E240A"/>
    <w:rsid w:val="001E2685"/>
    <w:rsid w:val="001E3048"/>
    <w:rsid w:val="001E484F"/>
    <w:rsid w:val="001E5954"/>
    <w:rsid w:val="001E6715"/>
    <w:rsid w:val="001E7562"/>
    <w:rsid w:val="001F007B"/>
    <w:rsid w:val="001F229A"/>
    <w:rsid w:val="001F2DB7"/>
    <w:rsid w:val="001F31B6"/>
    <w:rsid w:val="001F476B"/>
    <w:rsid w:val="001F5246"/>
    <w:rsid w:val="001F6CD3"/>
    <w:rsid w:val="001F6F16"/>
    <w:rsid w:val="001F703C"/>
    <w:rsid w:val="001F745E"/>
    <w:rsid w:val="00204003"/>
    <w:rsid w:val="002047EC"/>
    <w:rsid w:val="00204850"/>
    <w:rsid w:val="002053DF"/>
    <w:rsid w:val="002078F6"/>
    <w:rsid w:val="002100E1"/>
    <w:rsid w:val="0021020E"/>
    <w:rsid w:val="00211193"/>
    <w:rsid w:val="00214959"/>
    <w:rsid w:val="00215192"/>
    <w:rsid w:val="00215FD4"/>
    <w:rsid w:val="002168C3"/>
    <w:rsid w:val="00223D88"/>
    <w:rsid w:val="002241EC"/>
    <w:rsid w:val="00224441"/>
    <w:rsid w:val="002253A3"/>
    <w:rsid w:val="002259B8"/>
    <w:rsid w:val="0022656D"/>
    <w:rsid w:val="00226759"/>
    <w:rsid w:val="002278F9"/>
    <w:rsid w:val="0023168A"/>
    <w:rsid w:val="00232198"/>
    <w:rsid w:val="0023319B"/>
    <w:rsid w:val="00235E66"/>
    <w:rsid w:val="0023672D"/>
    <w:rsid w:val="00237394"/>
    <w:rsid w:val="00240B02"/>
    <w:rsid w:val="002412E7"/>
    <w:rsid w:val="00241663"/>
    <w:rsid w:val="002429F2"/>
    <w:rsid w:val="00246C88"/>
    <w:rsid w:val="00247465"/>
    <w:rsid w:val="00247745"/>
    <w:rsid w:val="00247A92"/>
    <w:rsid w:val="00250365"/>
    <w:rsid w:val="00253635"/>
    <w:rsid w:val="002549ED"/>
    <w:rsid w:val="00257A83"/>
    <w:rsid w:val="00261875"/>
    <w:rsid w:val="00261FE0"/>
    <w:rsid w:val="00262AA5"/>
    <w:rsid w:val="00263081"/>
    <w:rsid w:val="00266102"/>
    <w:rsid w:val="00266CFA"/>
    <w:rsid w:val="00270246"/>
    <w:rsid w:val="00275AAE"/>
    <w:rsid w:val="002766BB"/>
    <w:rsid w:val="00280440"/>
    <w:rsid w:val="0028214E"/>
    <w:rsid w:val="002826E9"/>
    <w:rsid w:val="00283E3A"/>
    <w:rsid w:val="00285AA6"/>
    <w:rsid w:val="0028608B"/>
    <w:rsid w:val="00286601"/>
    <w:rsid w:val="0028666F"/>
    <w:rsid w:val="00292798"/>
    <w:rsid w:val="00292C5D"/>
    <w:rsid w:val="00293E3A"/>
    <w:rsid w:val="00293E67"/>
    <w:rsid w:val="002952AA"/>
    <w:rsid w:val="002964B8"/>
    <w:rsid w:val="002972E6"/>
    <w:rsid w:val="002A0504"/>
    <w:rsid w:val="002A17D7"/>
    <w:rsid w:val="002A2440"/>
    <w:rsid w:val="002A2906"/>
    <w:rsid w:val="002A29B4"/>
    <w:rsid w:val="002A2F6C"/>
    <w:rsid w:val="002A2F9B"/>
    <w:rsid w:val="002A3999"/>
    <w:rsid w:val="002A4A28"/>
    <w:rsid w:val="002A5814"/>
    <w:rsid w:val="002A5E6E"/>
    <w:rsid w:val="002A6631"/>
    <w:rsid w:val="002A710E"/>
    <w:rsid w:val="002A735C"/>
    <w:rsid w:val="002A75A1"/>
    <w:rsid w:val="002B0590"/>
    <w:rsid w:val="002B21FE"/>
    <w:rsid w:val="002B24D7"/>
    <w:rsid w:val="002B33E2"/>
    <w:rsid w:val="002B451F"/>
    <w:rsid w:val="002B454E"/>
    <w:rsid w:val="002B5F24"/>
    <w:rsid w:val="002B7562"/>
    <w:rsid w:val="002B75DA"/>
    <w:rsid w:val="002C304B"/>
    <w:rsid w:val="002C3D38"/>
    <w:rsid w:val="002C547B"/>
    <w:rsid w:val="002C634D"/>
    <w:rsid w:val="002D2A3C"/>
    <w:rsid w:val="002D2CFB"/>
    <w:rsid w:val="002D2E55"/>
    <w:rsid w:val="002D3301"/>
    <w:rsid w:val="002D3323"/>
    <w:rsid w:val="002D3628"/>
    <w:rsid w:val="002D38BA"/>
    <w:rsid w:val="002D497E"/>
    <w:rsid w:val="002D638B"/>
    <w:rsid w:val="002D69F0"/>
    <w:rsid w:val="002D6A33"/>
    <w:rsid w:val="002D7293"/>
    <w:rsid w:val="002D79E0"/>
    <w:rsid w:val="002E0498"/>
    <w:rsid w:val="002E152F"/>
    <w:rsid w:val="002E26D6"/>
    <w:rsid w:val="002E6F5C"/>
    <w:rsid w:val="002E7669"/>
    <w:rsid w:val="002F039C"/>
    <w:rsid w:val="002F0F7E"/>
    <w:rsid w:val="002F0FEC"/>
    <w:rsid w:val="002F180F"/>
    <w:rsid w:val="002F37CC"/>
    <w:rsid w:val="002F4884"/>
    <w:rsid w:val="002F5219"/>
    <w:rsid w:val="002F584E"/>
    <w:rsid w:val="002F6A74"/>
    <w:rsid w:val="002F6BDF"/>
    <w:rsid w:val="002F6DC6"/>
    <w:rsid w:val="002F79AE"/>
    <w:rsid w:val="003003B3"/>
    <w:rsid w:val="00300454"/>
    <w:rsid w:val="003014A6"/>
    <w:rsid w:val="003041E7"/>
    <w:rsid w:val="00304A29"/>
    <w:rsid w:val="00304D82"/>
    <w:rsid w:val="003050F6"/>
    <w:rsid w:val="003063E5"/>
    <w:rsid w:val="0031020F"/>
    <w:rsid w:val="00311760"/>
    <w:rsid w:val="00312074"/>
    <w:rsid w:val="00314D11"/>
    <w:rsid w:val="0031655F"/>
    <w:rsid w:val="003210C7"/>
    <w:rsid w:val="00322FF3"/>
    <w:rsid w:val="00323E4A"/>
    <w:rsid w:val="00323EC3"/>
    <w:rsid w:val="00326049"/>
    <w:rsid w:val="003273BD"/>
    <w:rsid w:val="00331125"/>
    <w:rsid w:val="00331DDA"/>
    <w:rsid w:val="00332989"/>
    <w:rsid w:val="003334E0"/>
    <w:rsid w:val="0033533E"/>
    <w:rsid w:val="00335627"/>
    <w:rsid w:val="003357B2"/>
    <w:rsid w:val="00336BAF"/>
    <w:rsid w:val="0033700A"/>
    <w:rsid w:val="00337975"/>
    <w:rsid w:val="00337CB9"/>
    <w:rsid w:val="00341E1F"/>
    <w:rsid w:val="0034246C"/>
    <w:rsid w:val="00343071"/>
    <w:rsid w:val="00343608"/>
    <w:rsid w:val="00343757"/>
    <w:rsid w:val="00344962"/>
    <w:rsid w:val="00344998"/>
    <w:rsid w:val="00344A88"/>
    <w:rsid w:val="00345511"/>
    <w:rsid w:val="003458CA"/>
    <w:rsid w:val="003460C2"/>
    <w:rsid w:val="00346B4E"/>
    <w:rsid w:val="00346D93"/>
    <w:rsid w:val="00350304"/>
    <w:rsid w:val="003518CB"/>
    <w:rsid w:val="00352D93"/>
    <w:rsid w:val="00353A6F"/>
    <w:rsid w:val="003561EB"/>
    <w:rsid w:val="00356928"/>
    <w:rsid w:val="00361C58"/>
    <w:rsid w:val="00362D04"/>
    <w:rsid w:val="00362FEE"/>
    <w:rsid w:val="00363763"/>
    <w:rsid w:val="003637D0"/>
    <w:rsid w:val="0036387C"/>
    <w:rsid w:val="003660E6"/>
    <w:rsid w:val="00367456"/>
    <w:rsid w:val="003706B9"/>
    <w:rsid w:val="00374275"/>
    <w:rsid w:val="00374B10"/>
    <w:rsid w:val="00376FF0"/>
    <w:rsid w:val="003770CE"/>
    <w:rsid w:val="00377BB5"/>
    <w:rsid w:val="00380C5B"/>
    <w:rsid w:val="0038190C"/>
    <w:rsid w:val="00381AF2"/>
    <w:rsid w:val="003821B7"/>
    <w:rsid w:val="00382EBB"/>
    <w:rsid w:val="00384470"/>
    <w:rsid w:val="0038716E"/>
    <w:rsid w:val="00387572"/>
    <w:rsid w:val="00387B07"/>
    <w:rsid w:val="00387BFE"/>
    <w:rsid w:val="003902C7"/>
    <w:rsid w:val="00392D43"/>
    <w:rsid w:val="00396932"/>
    <w:rsid w:val="00396E93"/>
    <w:rsid w:val="0039748E"/>
    <w:rsid w:val="003974CB"/>
    <w:rsid w:val="003A0655"/>
    <w:rsid w:val="003A1FE5"/>
    <w:rsid w:val="003A2517"/>
    <w:rsid w:val="003A2EA5"/>
    <w:rsid w:val="003A5379"/>
    <w:rsid w:val="003A5FA4"/>
    <w:rsid w:val="003A7559"/>
    <w:rsid w:val="003A7700"/>
    <w:rsid w:val="003B029B"/>
    <w:rsid w:val="003B181D"/>
    <w:rsid w:val="003B5EAE"/>
    <w:rsid w:val="003C0093"/>
    <w:rsid w:val="003C3DF2"/>
    <w:rsid w:val="003C45B6"/>
    <w:rsid w:val="003C4F49"/>
    <w:rsid w:val="003C5D5D"/>
    <w:rsid w:val="003C66A6"/>
    <w:rsid w:val="003D06D9"/>
    <w:rsid w:val="003D20B3"/>
    <w:rsid w:val="003D2868"/>
    <w:rsid w:val="003D2E7D"/>
    <w:rsid w:val="003D3D1A"/>
    <w:rsid w:val="003D503C"/>
    <w:rsid w:val="003E0191"/>
    <w:rsid w:val="003E03DE"/>
    <w:rsid w:val="003E19DA"/>
    <w:rsid w:val="003E2261"/>
    <w:rsid w:val="003E3DA6"/>
    <w:rsid w:val="003E3EF0"/>
    <w:rsid w:val="003E52C3"/>
    <w:rsid w:val="003E5E57"/>
    <w:rsid w:val="003E5EC0"/>
    <w:rsid w:val="003E63C8"/>
    <w:rsid w:val="003E7003"/>
    <w:rsid w:val="003F0821"/>
    <w:rsid w:val="003F0FEB"/>
    <w:rsid w:val="003F4405"/>
    <w:rsid w:val="003F442F"/>
    <w:rsid w:val="003F4D71"/>
    <w:rsid w:val="003F4E3D"/>
    <w:rsid w:val="003F51B9"/>
    <w:rsid w:val="0040147F"/>
    <w:rsid w:val="004027E9"/>
    <w:rsid w:val="00403D93"/>
    <w:rsid w:val="00404038"/>
    <w:rsid w:val="004043EE"/>
    <w:rsid w:val="00404F1E"/>
    <w:rsid w:val="00412514"/>
    <w:rsid w:val="00412AA8"/>
    <w:rsid w:val="004147E2"/>
    <w:rsid w:val="00414889"/>
    <w:rsid w:val="004176E5"/>
    <w:rsid w:val="00417A9D"/>
    <w:rsid w:val="004206B9"/>
    <w:rsid w:val="00421089"/>
    <w:rsid w:val="00422134"/>
    <w:rsid w:val="004227C0"/>
    <w:rsid w:val="004271AC"/>
    <w:rsid w:val="00427B7F"/>
    <w:rsid w:val="00431796"/>
    <w:rsid w:val="00431CBA"/>
    <w:rsid w:val="0043370E"/>
    <w:rsid w:val="004345B3"/>
    <w:rsid w:val="00434F29"/>
    <w:rsid w:val="00435301"/>
    <w:rsid w:val="00437427"/>
    <w:rsid w:val="00437D08"/>
    <w:rsid w:val="00440872"/>
    <w:rsid w:val="00440B4D"/>
    <w:rsid w:val="004422DC"/>
    <w:rsid w:val="00443D90"/>
    <w:rsid w:val="00447A42"/>
    <w:rsid w:val="0045066F"/>
    <w:rsid w:val="0045252F"/>
    <w:rsid w:val="00453027"/>
    <w:rsid w:val="00453DC5"/>
    <w:rsid w:val="00455642"/>
    <w:rsid w:val="00455A8F"/>
    <w:rsid w:val="00455BB3"/>
    <w:rsid w:val="00455E92"/>
    <w:rsid w:val="004560DC"/>
    <w:rsid w:val="00456C13"/>
    <w:rsid w:val="00456C98"/>
    <w:rsid w:val="00457B11"/>
    <w:rsid w:val="00457E41"/>
    <w:rsid w:val="00460FB4"/>
    <w:rsid w:val="00463A4D"/>
    <w:rsid w:val="00463AD9"/>
    <w:rsid w:val="00467152"/>
    <w:rsid w:val="00467C89"/>
    <w:rsid w:val="00470233"/>
    <w:rsid w:val="00470248"/>
    <w:rsid w:val="004706B8"/>
    <w:rsid w:val="00472994"/>
    <w:rsid w:val="00472AB4"/>
    <w:rsid w:val="00476155"/>
    <w:rsid w:val="00477011"/>
    <w:rsid w:val="00480F3C"/>
    <w:rsid w:val="00482EE6"/>
    <w:rsid w:val="0048671F"/>
    <w:rsid w:val="00487821"/>
    <w:rsid w:val="00487873"/>
    <w:rsid w:val="004915E1"/>
    <w:rsid w:val="004917A0"/>
    <w:rsid w:val="00494682"/>
    <w:rsid w:val="00495561"/>
    <w:rsid w:val="00496B6C"/>
    <w:rsid w:val="0049719D"/>
    <w:rsid w:val="004A1FA8"/>
    <w:rsid w:val="004A2466"/>
    <w:rsid w:val="004A3D14"/>
    <w:rsid w:val="004A4B65"/>
    <w:rsid w:val="004A4C2B"/>
    <w:rsid w:val="004A6E9B"/>
    <w:rsid w:val="004B0AD9"/>
    <w:rsid w:val="004B14D5"/>
    <w:rsid w:val="004B1E46"/>
    <w:rsid w:val="004B2027"/>
    <w:rsid w:val="004B2575"/>
    <w:rsid w:val="004B2AB6"/>
    <w:rsid w:val="004B2ED8"/>
    <w:rsid w:val="004B3034"/>
    <w:rsid w:val="004B3745"/>
    <w:rsid w:val="004B7323"/>
    <w:rsid w:val="004C092C"/>
    <w:rsid w:val="004C3B4E"/>
    <w:rsid w:val="004C5306"/>
    <w:rsid w:val="004C6343"/>
    <w:rsid w:val="004C7B89"/>
    <w:rsid w:val="004D0067"/>
    <w:rsid w:val="004D06C5"/>
    <w:rsid w:val="004D1239"/>
    <w:rsid w:val="004D1D2D"/>
    <w:rsid w:val="004D3AC6"/>
    <w:rsid w:val="004D44EF"/>
    <w:rsid w:val="004D4CB6"/>
    <w:rsid w:val="004D5263"/>
    <w:rsid w:val="004D7FD6"/>
    <w:rsid w:val="004E0B0B"/>
    <w:rsid w:val="004E11D8"/>
    <w:rsid w:val="004E1B93"/>
    <w:rsid w:val="004E3681"/>
    <w:rsid w:val="004E371F"/>
    <w:rsid w:val="004E6B24"/>
    <w:rsid w:val="004E6BA6"/>
    <w:rsid w:val="004E7082"/>
    <w:rsid w:val="004F0D41"/>
    <w:rsid w:val="004F228F"/>
    <w:rsid w:val="004F2756"/>
    <w:rsid w:val="004F2B2A"/>
    <w:rsid w:val="004F47FF"/>
    <w:rsid w:val="004F6A72"/>
    <w:rsid w:val="00500AC6"/>
    <w:rsid w:val="005026C5"/>
    <w:rsid w:val="005031C7"/>
    <w:rsid w:val="00503C12"/>
    <w:rsid w:val="00503F90"/>
    <w:rsid w:val="0050407E"/>
    <w:rsid w:val="00504579"/>
    <w:rsid w:val="005070CF"/>
    <w:rsid w:val="005073A1"/>
    <w:rsid w:val="00507456"/>
    <w:rsid w:val="00510A15"/>
    <w:rsid w:val="005124C7"/>
    <w:rsid w:val="00512981"/>
    <w:rsid w:val="00513A5D"/>
    <w:rsid w:val="00514739"/>
    <w:rsid w:val="00515072"/>
    <w:rsid w:val="00516834"/>
    <w:rsid w:val="00516838"/>
    <w:rsid w:val="00521B64"/>
    <w:rsid w:val="00521E4F"/>
    <w:rsid w:val="005229E1"/>
    <w:rsid w:val="00523114"/>
    <w:rsid w:val="00524411"/>
    <w:rsid w:val="00524E45"/>
    <w:rsid w:val="00525EF4"/>
    <w:rsid w:val="00526AD0"/>
    <w:rsid w:val="00530B03"/>
    <w:rsid w:val="0053188A"/>
    <w:rsid w:val="00533042"/>
    <w:rsid w:val="00533A91"/>
    <w:rsid w:val="0053471F"/>
    <w:rsid w:val="00535588"/>
    <w:rsid w:val="00535D3F"/>
    <w:rsid w:val="00537514"/>
    <w:rsid w:val="00540545"/>
    <w:rsid w:val="00540F4A"/>
    <w:rsid w:val="0054100C"/>
    <w:rsid w:val="00541505"/>
    <w:rsid w:val="0054208C"/>
    <w:rsid w:val="005424EF"/>
    <w:rsid w:val="005438C9"/>
    <w:rsid w:val="00543C72"/>
    <w:rsid w:val="005448FC"/>
    <w:rsid w:val="00544A77"/>
    <w:rsid w:val="00544FB0"/>
    <w:rsid w:val="00545702"/>
    <w:rsid w:val="0054749B"/>
    <w:rsid w:val="005477A7"/>
    <w:rsid w:val="00551452"/>
    <w:rsid w:val="00551757"/>
    <w:rsid w:val="00551AA8"/>
    <w:rsid w:val="00552D03"/>
    <w:rsid w:val="00553EC1"/>
    <w:rsid w:val="00554992"/>
    <w:rsid w:val="0055606D"/>
    <w:rsid w:val="00556329"/>
    <w:rsid w:val="0055754D"/>
    <w:rsid w:val="00557A51"/>
    <w:rsid w:val="00560292"/>
    <w:rsid w:val="0056075A"/>
    <w:rsid w:val="005617C2"/>
    <w:rsid w:val="0056204E"/>
    <w:rsid w:val="00567259"/>
    <w:rsid w:val="005704BC"/>
    <w:rsid w:val="00570A32"/>
    <w:rsid w:val="005725A9"/>
    <w:rsid w:val="005729FC"/>
    <w:rsid w:val="00573BE9"/>
    <w:rsid w:val="005762D0"/>
    <w:rsid w:val="00576E24"/>
    <w:rsid w:val="00577BF5"/>
    <w:rsid w:val="005803EA"/>
    <w:rsid w:val="005820DC"/>
    <w:rsid w:val="00582248"/>
    <w:rsid w:val="00582A9A"/>
    <w:rsid w:val="00582EA7"/>
    <w:rsid w:val="005841CF"/>
    <w:rsid w:val="00584710"/>
    <w:rsid w:val="00584853"/>
    <w:rsid w:val="00587B73"/>
    <w:rsid w:val="00587FE9"/>
    <w:rsid w:val="00590A72"/>
    <w:rsid w:val="00591041"/>
    <w:rsid w:val="005918D2"/>
    <w:rsid w:val="00592103"/>
    <w:rsid w:val="00594EFE"/>
    <w:rsid w:val="005A0017"/>
    <w:rsid w:val="005A0986"/>
    <w:rsid w:val="005A2CF5"/>
    <w:rsid w:val="005A2D22"/>
    <w:rsid w:val="005A2D44"/>
    <w:rsid w:val="005A3913"/>
    <w:rsid w:val="005A3E2A"/>
    <w:rsid w:val="005B05C0"/>
    <w:rsid w:val="005B1575"/>
    <w:rsid w:val="005B1D53"/>
    <w:rsid w:val="005B2553"/>
    <w:rsid w:val="005B7FD3"/>
    <w:rsid w:val="005C240B"/>
    <w:rsid w:val="005C3053"/>
    <w:rsid w:val="005C3C78"/>
    <w:rsid w:val="005C3FB4"/>
    <w:rsid w:val="005C6230"/>
    <w:rsid w:val="005C71A9"/>
    <w:rsid w:val="005C7B9B"/>
    <w:rsid w:val="005C7E37"/>
    <w:rsid w:val="005D3571"/>
    <w:rsid w:val="005D3A9A"/>
    <w:rsid w:val="005D3BCE"/>
    <w:rsid w:val="005D4A3F"/>
    <w:rsid w:val="005D4A51"/>
    <w:rsid w:val="005D4C75"/>
    <w:rsid w:val="005E0DDC"/>
    <w:rsid w:val="005E160B"/>
    <w:rsid w:val="005E163E"/>
    <w:rsid w:val="005E1856"/>
    <w:rsid w:val="005E399A"/>
    <w:rsid w:val="005E409B"/>
    <w:rsid w:val="005E55A9"/>
    <w:rsid w:val="005E5DB8"/>
    <w:rsid w:val="005E6A4B"/>
    <w:rsid w:val="005F1775"/>
    <w:rsid w:val="005F241F"/>
    <w:rsid w:val="005F2BA9"/>
    <w:rsid w:val="005F3A57"/>
    <w:rsid w:val="005F4C9E"/>
    <w:rsid w:val="005F6A20"/>
    <w:rsid w:val="005F6E87"/>
    <w:rsid w:val="005F7CB4"/>
    <w:rsid w:val="006003D9"/>
    <w:rsid w:val="00600DC3"/>
    <w:rsid w:val="00601FD0"/>
    <w:rsid w:val="00602A15"/>
    <w:rsid w:val="006031C3"/>
    <w:rsid w:val="006047C4"/>
    <w:rsid w:val="006067FC"/>
    <w:rsid w:val="00607358"/>
    <w:rsid w:val="006076A9"/>
    <w:rsid w:val="00610470"/>
    <w:rsid w:val="0061281D"/>
    <w:rsid w:val="00613609"/>
    <w:rsid w:val="006141FB"/>
    <w:rsid w:val="00615C62"/>
    <w:rsid w:val="00616732"/>
    <w:rsid w:val="0062134B"/>
    <w:rsid w:val="00621929"/>
    <w:rsid w:val="0062246E"/>
    <w:rsid w:val="00622EC7"/>
    <w:rsid w:val="00623757"/>
    <w:rsid w:val="006249CF"/>
    <w:rsid w:val="00625FCC"/>
    <w:rsid w:val="006267AC"/>
    <w:rsid w:val="00627DCD"/>
    <w:rsid w:val="00627E92"/>
    <w:rsid w:val="006318C0"/>
    <w:rsid w:val="00631A43"/>
    <w:rsid w:val="0063380C"/>
    <w:rsid w:val="00634925"/>
    <w:rsid w:val="00635BF9"/>
    <w:rsid w:val="00641A6D"/>
    <w:rsid w:val="00642DAF"/>
    <w:rsid w:val="00643498"/>
    <w:rsid w:val="006446A7"/>
    <w:rsid w:val="00644A8E"/>
    <w:rsid w:val="006469BB"/>
    <w:rsid w:val="00647767"/>
    <w:rsid w:val="00651545"/>
    <w:rsid w:val="006524F7"/>
    <w:rsid w:val="00655389"/>
    <w:rsid w:val="00655392"/>
    <w:rsid w:val="00655B53"/>
    <w:rsid w:val="00655B75"/>
    <w:rsid w:val="00655C78"/>
    <w:rsid w:val="00662044"/>
    <w:rsid w:val="0066367F"/>
    <w:rsid w:val="0066655B"/>
    <w:rsid w:val="00670194"/>
    <w:rsid w:val="00670876"/>
    <w:rsid w:val="00672C76"/>
    <w:rsid w:val="0067351B"/>
    <w:rsid w:val="00674BED"/>
    <w:rsid w:val="00675507"/>
    <w:rsid w:val="00676A48"/>
    <w:rsid w:val="00676BD1"/>
    <w:rsid w:val="00676C3A"/>
    <w:rsid w:val="00681705"/>
    <w:rsid w:val="00681ABF"/>
    <w:rsid w:val="006827F4"/>
    <w:rsid w:val="00684172"/>
    <w:rsid w:val="00685116"/>
    <w:rsid w:val="00685C0C"/>
    <w:rsid w:val="00685F7E"/>
    <w:rsid w:val="00687CF0"/>
    <w:rsid w:val="006908A1"/>
    <w:rsid w:val="006927A9"/>
    <w:rsid w:val="00693520"/>
    <w:rsid w:val="00693C58"/>
    <w:rsid w:val="00694053"/>
    <w:rsid w:val="006945CF"/>
    <w:rsid w:val="00695CFC"/>
    <w:rsid w:val="006965A3"/>
    <w:rsid w:val="00696C66"/>
    <w:rsid w:val="006974AD"/>
    <w:rsid w:val="006975B0"/>
    <w:rsid w:val="00697FC3"/>
    <w:rsid w:val="006A0079"/>
    <w:rsid w:val="006A08A0"/>
    <w:rsid w:val="006A1689"/>
    <w:rsid w:val="006A1EFF"/>
    <w:rsid w:val="006A4E9B"/>
    <w:rsid w:val="006A5337"/>
    <w:rsid w:val="006A648C"/>
    <w:rsid w:val="006A66EB"/>
    <w:rsid w:val="006A7A13"/>
    <w:rsid w:val="006A7AC1"/>
    <w:rsid w:val="006B0673"/>
    <w:rsid w:val="006B085F"/>
    <w:rsid w:val="006B0E7D"/>
    <w:rsid w:val="006B12F1"/>
    <w:rsid w:val="006B233E"/>
    <w:rsid w:val="006B33A5"/>
    <w:rsid w:val="006B568E"/>
    <w:rsid w:val="006B5DCD"/>
    <w:rsid w:val="006B748B"/>
    <w:rsid w:val="006C3886"/>
    <w:rsid w:val="006C3A16"/>
    <w:rsid w:val="006C4081"/>
    <w:rsid w:val="006C41B5"/>
    <w:rsid w:val="006C48DF"/>
    <w:rsid w:val="006C5BF8"/>
    <w:rsid w:val="006D0B7E"/>
    <w:rsid w:val="006D0D65"/>
    <w:rsid w:val="006D143D"/>
    <w:rsid w:val="006D1B0E"/>
    <w:rsid w:val="006D1FC0"/>
    <w:rsid w:val="006D424C"/>
    <w:rsid w:val="006D4389"/>
    <w:rsid w:val="006D467A"/>
    <w:rsid w:val="006D46C6"/>
    <w:rsid w:val="006D662A"/>
    <w:rsid w:val="006E02B6"/>
    <w:rsid w:val="006E0626"/>
    <w:rsid w:val="006E0FE7"/>
    <w:rsid w:val="006E213C"/>
    <w:rsid w:val="006E21B9"/>
    <w:rsid w:val="006E2914"/>
    <w:rsid w:val="006E2F55"/>
    <w:rsid w:val="006E4352"/>
    <w:rsid w:val="006E477D"/>
    <w:rsid w:val="006E62AE"/>
    <w:rsid w:val="006E6F67"/>
    <w:rsid w:val="006E7003"/>
    <w:rsid w:val="006E78A4"/>
    <w:rsid w:val="006F1455"/>
    <w:rsid w:val="006F2DF1"/>
    <w:rsid w:val="006F3225"/>
    <w:rsid w:val="006F34E8"/>
    <w:rsid w:val="006F43B5"/>
    <w:rsid w:val="006F5D88"/>
    <w:rsid w:val="006F63A1"/>
    <w:rsid w:val="006F6AEE"/>
    <w:rsid w:val="00700D54"/>
    <w:rsid w:val="00701702"/>
    <w:rsid w:val="00701BC8"/>
    <w:rsid w:val="0070210A"/>
    <w:rsid w:val="00702F41"/>
    <w:rsid w:val="00704F83"/>
    <w:rsid w:val="00706909"/>
    <w:rsid w:val="007073C6"/>
    <w:rsid w:val="00707EF4"/>
    <w:rsid w:val="00710C47"/>
    <w:rsid w:val="007119A3"/>
    <w:rsid w:val="00711CD5"/>
    <w:rsid w:val="00713912"/>
    <w:rsid w:val="00715B85"/>
    <w:rsid w:val="00720363"/>
    <w:rsid w:val="007215DD"/>
    <w:rsid w:val="0072165E"/>
    <w:rsid w:val="0072360D"/>
    <w:rsid w:val="00723D71"/>
    <w:rsid w:val="007247DB"/>
    <w:rsid w:val="00725702"/>
    <w:rsid w:val="00730857"/>
    <w:rsid w:val="00731A19"/>
    <w:rsid w:val="00732CF9"/>
    <w:rsid w:val="00732FCB"/>
    <w:rsid w:val="007331A7"/>
    <w:rsid w:val="00733ABD"/>
    <w:rsid w:val="0073416C"/>
    <w:rsid w:val="00736282"/>
    <w:rsid w:val="00737152"/>
    <w:rsid w:val="00737359"/>
    <w:rsid w:val="00740721"/>
    <w:rsid w:val="00742975"/>
    <w:rsid w:val="0074570D"/>
    <w:rsid w:val="00745E76"/>
    <w:rsid w:val="00746145"/>
    <w:rsid w:val="00746B2B"/>
    <w:rsid w:val="00751972"/>
    <w:rsid w:val="00751BC5"/>
    <w:rsid w:val="00753E99"/>
    <w:rsid w:val="007543B0"/>
    <w:rsid w:val="007559E0"/>
    <w:rsid w:val="0075714A"/>
    <w:rsid w:val="00757894"/>
    <w:rsid w:val="00757A9C"/>
    <w:rsid w:val="007603C4"/>
    <w:rsid w:val="007615F6"/>
    <w:rsid w:val="00762720"/>
    <w:rsid w:val="00763964"/>
    <w:rsid w:val="00765024"/>
    <w:rsid w:val="007678C2"/>
    <w:rsid w:val="0077134D"/>
    <w:rsid w:val="0077186C"/>
    <w:rsid w:val="00772868"/>
    <w:rsid w:val="00774E8F"/>
    <w:rsid w:val="00776D35"/>
    <w:rsid w:val="00777297"/>
    <w:rsid w:val="0078096B"/>
    <w:rsid w:val="00781327"/>
    <w:rsid w:val="00782F7D"/>
    <w:rsid w:val="00784EC5"/>
    <w:rsid w:val="00786BCB"/>
    <w:rsid w:val="00787C23"/>
    <w:rsid w:val="007903E3"/>
    <w:rsid w:val="00790CA1"/>
    <w:rsid w:val="00790FD2"/>
    <w:rsid w:val="00791021"/>
    <w:rsid w:val="007922E7"/>
    <w:rsid w:val="00795BEC"/>
    <w:rsid w:val="007A0B4A"/>
    <w:rsid w:val="007A174C"/>
    <w:rsid w:val="007A191C"/>
    <w:rsid w:val="007A1FB0"/>
    <w:rsid w:val="007A5746"/>
    <w:rsid w:val="007A6573"/>
    <w:rsid w:val="007A6948"/>
    <w:rsid w:val="007A6CB7"/>
    <w:rsid w:val="007A72C0"/>
    <w:rsid w:val="007A73CA"/>
    <w:rsid w:val="007A777D"/>
    <w:rsid w:val="007B01B1"/>
    <w:rsid w:val="007B198D"/>
    <w:rsid w:val="007B3BB3"/>
    <w:rsid w:val="007B456F"/>
    <w:rsid w:val="007B4E11"/>
    <w:rsid w:val="007B7F06"/>
    <w:rsid w:val="007C5258"/>
    <w:rsid w:val="007C5D7A"/>
    <w:rsid w:val="007C627F"/>
    <w:rsid w:val="007D173F"/>
    <w:rsid w:val="007D4B01"/>
    <w:rsid w:val="007D4F73"/>
    <w:rsid w:val="007D6D2E"/>
    <w:rsid w:val="007D6F4E"/>
    <w:rsid w:val="007D7BDF"/>
    <w:rsid w:val="007E063C"/>
    <w:rsid w:val="007E1020"/>
    <w:rsid w:val="007E3ECB"/>
    <w:rsid w:val="007E42A4"/>
    <w:rsid w:val="007E4CBD"/>
    <w:rsid w:val="007E67D5"/>
    <w:rsid w:val="007E7B94"/>
    <w:rsid w:val="007F2471"/>
    <w:rsid w:val="007F6753"/>
    <w:rsid w:val="007F78B8"/>
    <w:rsid w:val="007F79ED"/>
    <w:rsid w:val="007F7C8C"/>
    <w:rsid w:val="0080196B"/>
    <w:rsid w:val="00804C65"/>
    <w:rsid w:val="00804E95"/>
    <w:rsid w:val="008056B4"/>
    <w:rsid w:val="008064EF"/>
    <w:rsid w:val="0080782B"/>
    <w:rsid w:val="00812426"/>
    <w:rsid w:val="008142B8"/>
    <w:rsid w:val="00814AA0"/>
    <w:rsid w:val="00815BCA"/>
    <w:rsid w:val="00815D69"/>
    <w:rsid w:val="0081757E"/>
    <w:rsid w:val="00820121"/>
    <w:rsid w:val="0082144D"/>
    <w:rsid w:val="00821943"/>
    <w:rsid w:val="008229D7"/>
    <w:rsid w:val="00827354"/>
    <w:rsid w:val="00830061"/>
    <w:rsid w:val="00831DFE"/>
    <w:rsid w:val="00832931"/>
    <w:rsid w:val="00834B5F"/>
    <w:rsid w:val="00834C3D"/>
    <w:rsid w:val="00836E2C"/>
    <w:rsid w:val="00837CAE"/>
    <w:rsid w:val="00840358"/>
    <w:rsid w:val="0084052A"/>
    <w:rsid w:val="00843506"/>
    <w:rsid w:val="00846402"/>
    <w:rsid w:val="008468F6"/>
    <w:rsid w:val="00850331"/>
    <w:rsid w:val="00850CC0"/>
    <w:rsid w:val="00852503"/>
    <w:rsid w:val="00852F83"/>
    <w:rsid w:val="008536AB"/>
    <w:rsid w:val="00853879"/>
    <w:rsid w:val="00854612"/>
    <w:rsid w:val="00856F2A"/>
    <w:rsid w:val="008574FE"/>
    <w:rsid w:val="00857CAF"/>
    <w:rsid w:val="0086184E"/>
    <w:rsid w:val="00862720"/>
    <w:rsid w:val="00862D2F"/>
    <w:rsid w:val="0086307C"/>
    <w:rsid w:val="00863EC6"/>
    <w:rsid w:val="0086517B"/>
    <w:rsid w:val="00866F5D"/>
    <w:rsid w:val="00867110"/>
    <w:rsid w:val="00870013"/>
    <w:rsid w:val="00870C8E"/>
    <w:rsid w:val="00872151"/>
    <w:rsid w:val="00874A99"/>
    <w:rsid w:val="00875816"/>
    <w:rsid w:val="00875F92"/>
    <w:rsid w:val="00876CFD"/>
    <w:rsid w:val="00877F23"/>
    <w:rsid w:val="00881BEC"/>
    <w:rsid w:val="008820AA"/>
    <w:rsid w:val="00883C00"/>
    <w:rsid w:val="00886F9C"/>
    <w:rsid w:val="00887D67"/>
    <w:rsid w:val="008901E4"/>
    <w:rsid w:val="00891E0F"/>
    <w:rsid w:val="00893A8B"/>
    <w:rsid w:val="00893EE7"/>
    <w:rsid w:val="008952E0"/>
    <w:rsid w:val="008957A0"/>
    <w:rsid w:val="0089622D"/>
    <w:rsid w:val="008A04F7"/>
    <w:rsid w:val="008A1868"/>
    <w:rsid w:val="008A3797"/>
    <w:rsid w:val="008A3C3F"/>
    <w:rsid w:val="008A48E5"/>
    <w:rsid w:val="008A4A71"/>
    <w:rsid w:val="008B0097"/>
    <w:rsid w:val="008B0403"/>
    <w:rsid w:val="008B0F98"/>
    <w:rsid w:val="008B1D90"/>
    <w:rsid w:val="008B380E"/>
    <w:rsid w:val="008B3A98"/>
    <w:rsid w:val="008B52F6"/>
    <w:rsid w:val="008B5B55"/>
    <w:rsid w:val="008B6324"/>
    <w:rsid w:val="008B78A2"/>
    <w:rsid w:val="008C0DBC"/>
    <w:rsid w:val="008C1652"/>
    <w:rsid w:val="008C172F"/>
    <w:rsid w:val="008C35A2"/>
    <w:rsid w:val="008C41E4"/>
    <w:rsid w:val="008C5496"/>
    <w:rsid w:val="008C7B9F"/>
    <w:rsid w:val="008D061C"/>
    <w:rsid w:val="008D29D6"/>
    <w:rsid w:val="008D39EE"/>
    <w:rsid w:val="008D3C87"/>
    <w:rsid w:val="008D4E60"/>
    <w:rsid w:val="008D5722"/>
    <w:rsid w:val="008E0C76"/>
    <w:rsid w:val="008E0ED4"/>
    <w:rsid w:val="008E1274"/>
    <w:rsid w:val="008E3EC1"/>
    <w:rsid w:val="008E41B1"/>
    <w:rsid w:val="008E4399"/>
    <w:rsid w:val="008E4909"/>
    <w:rsid w:val="008E5C80"/>
    <w:rsid w:val="008E5E5A"/>
    <w:rsid w:val="008F127F"/>
    <w:rsid w:val="008F1BD1"/>
    <w:rsid w:val="008F219F"/>
    <w:rsid w:val="008F43C0"/>
    <w:rsid w:val="008F4883"/>
    <w:rsid w:val="008F49A7"/>
    <w:rsid w:val="008F4DBB"/>
    <w:rsid w:val="008F735D"/>
    <w:rsid w:val="00902840"/>
    <w:rsid w:val="00903985"/>
    <w:rsid w:val="009061D4"/>
    <w:rsid w:val="00910B62"/>
    <w:rsid w:val="009118AC"/>
    <w:rsid w:val="00913432"/>
    <w:rsid w:val="00913C7F"/>
    <w:rsid w:val="009146F7"/>
    <w:rsid w:val="009153C5"/>
    <w:rsid w:val="00915940"/>
    <w:rsid w:val="00916324"/>
    <w:rsid w:val="00916B5A"/>
    <w:rsid w:val="0091704E"/>
    <w:rsid w:val="009208F0"/>
    <w:rsid w:val="00921555"/>
    <w:rsid w:val="009215FB"/>
    <w:rsid w:val="00922C8A"/>
    <w:rsid w:val="00923C05"/>
    <w:rsid w:val="009248DC"/>
    <w:rsid w:val="00926559"/>
    <w:rsid w:val="009271FE"/>
    <w:rsid w:val="0093031D"/>
    <w:rsid w:val="00931593"/>
    <w:rsid w:val="00931BE2"/>
    <w:rsid w:val="00932A4B"/>
    <w:rsid w:val="00932ACE"/>
    <w:rsid w:val="009331FB"/>
    <w:rsid w:val="00937C84"/>
    <w:rsid w:val="00940914"/>
    <w:rsid w:val="00940AD5"/>
    <w:rsid w:val="00942FAB"/>
    <w:rsid w:val="00943CEC"/>
    <w:rsid w:val="00945A31"/>
    <w:rsid w:val="00946729"/>
    <w:rsid w:val="00946973"/>
    <w:rsid w:val="0094745E"/>
    <w:rsid w:val="00947824"/>
    <w:rsid w:val="00950720"/>
    <w:rsid w:val="009526F5"/>
    <w:rsid w:val="0095357F"/>
    <w:rsid w:val="009536E6"/>
    <w:rsid w:val="00954A3F"/>
    <w:rsid w:val="00955CD2"/>
    <w:rsid w:val="009600CF"/>
    <w:rsid w:val="009609BC"/>
    <w:rsid w:val="009631AD"/>
    <w:rsid w:val="00963BB2"/>
    <w:rsid w:val="00964A94"/>
    <w:rsid w:val="00964D26"/>
    <w:rsid w:val="0096516A"/>
    <w:rsid w:val="00965781"/>
    <w:rsid w:val="00966B96"/>
    <w:rsid w:val="0097198F"/>
    <w:rsid w:val="0097210E"/>
    <w:rsid w:val="0097305C"/>
    <w:rsid w:val="00973B32"/>
    <w:rsid w:val="00977D23"/>
    <w:rsid w:val="00977EF9"/>
    <w:rsid w:val="00982CC6"/>
    <w:rsid w:val="0098344C"/>
    <w:rsid w:val="009840CD"/>
    <w:rsid w:val="0098633B"/>
    <w:rsid w:val="009872EE"/>
    <w:rsid w:val="009879E9"/>
    <w:rsid w:val="009901DE"/>
    <w:rsid w:val="00990536"/>
    <w:rsid w:val="00991942"/>
    <w:rsid w:val="0099397C"/>
    <w:rsid w:val="0099680B"/>
    <w:rsid w:val="009A0F3D"/>
    <w:rsid w:val="009A155E"/>
    <w:rsid w:val="009A1F3B"/>
    <w:rsid w:val="009A2039"/>
    <w:rsid w:val="009A34F3"/>
    <w:rsid w:val="009A3BAF"/>
    <w:rsid w:val="009A6B0A"/>
    <w:rsid w:val="009B129B"/>
    <w:rsid w:val="009B364A"/>
    <w:rsid w:val="009B3B26"/>
    <w:rsid w:val="009B3BDE"/>
    <w:rsid w:val="009B59C5"/>
    <w:rsid w:val="009B7FC3"/>
    <w:rsid w:val="009C0219"/>
    <w:rsid w:val="009C0386"/>
    <w:rsid w:val="009C1669"/>
    <w:rsid w:val="009C1CB3"/>
    <w:rsid w:val="009C3D2D"/>
    <w:rsid w:val="009C3E45"/>
    <w:rsid w:val="009C40DE"/>
    <w:rsid w:val="009C5463"/>
    <w:rsid w:val="009C61D4"/>
    <w:rsid w:val="009C6C09"/>
    <w:rsid w:val="009C6F4B"/>
    <w:rsid w:val="009D047F"/>
    <w:rsid w:val="009D2BBC"/>
    <w:rsid w:val="009D3B2A"/>
    <w:rsid w:val="009D4941"/>
    <w:rsid w:val="009D6F78"/>
    <w:rsid w:val="009E0556"/>
    <w:rsid w:val="009E0BBB"/>
    <w:rsid w:val="009E17D7"/>
    <w:rsid w:val="009E1D7D"/>
    <w:rsid w:val="009E23DB"/>
    <w:rsid w:val="009E33D8"/>
    <w:rsid w:val="009E35E3"/>
    <w:rsid w:val="009E54C9"/>
    <w:rsid w:val="009E673A"/>
    <w:rsid w:val="009E773A"/>
    <w:rsid w:val="009E7768"/>
    <w:rsid w:val="009E7C88"/>
    <w:rsid w:val="009F0084"/>
    <w:rsid w:val="009F0659"/>
    <w:rsid w:val="009F3C19"/>
    <w:rsid w:val="009F3C89"/>
    <w:rsid w:val="009F4852"/>
    <w:rsid w:val="009F63D8"/>
    <w:rsid w:val="009F69E0"/>
    <w:rsid w:val="009F6C87"/>
    <w:rsid w:val="009F71D7"/>
    <w:rsid w:val="00A00CAE"/>
    <w:rsid w:val="00A01252"/>
    <w:rsid w:val="00A01AEC"/>
    <w:rsid w:val="00A02A29"/>
    <w:rsid w:val="00A044A7"/>
    <w:rsid w:val="00A046B2"/>
    <w:rsid w:val="00A054C6"/>
    <w:rsid w:val="00A06A35"/>
    <w:rsid w:val="00A076ED"/>
    <w:rsid w:val="00A07D69"/>
    <w:rsid w:val="00A1153A"/>
    <w:rsid w:val="00A13CFC"/>
    <w:rsid w:val="00A143C5"/>
    <w:rsid w:val="00A15407"/>
    <w:rsid w:val="00A155FB"/>
    <w:rsid w:val="00A15BBC"/>
    <w:rsid w:val="00A15C33"/>
    <w:rsid w:val="00A171ED"/>
    <w:rsid w:val="00A20F20"/>
    <w:rsid w:val="00A22413"/>
    <w:rsid w:val="00A23FA3"/>
    <w:rsid w:val="00A256D3"/>
    <w:rsid w:val="00A25799"/>
    <w:rsid w:val="00A257F1"/>
    <w:rsid w:val="00A25F0B"/>
    <w:rsid w:val="00A27D49"/>
    <w:rsid w:val="00A27F38"/>
    <w:rsid w:val="00A34076"/>
    <w:rsid w:val="00A34471"/>
    <w:rsid w:val="00A34C7C"/>
    <w:rsid w:val="00A356DE"/>
    <w:rsid w:val="00A35C72"/>
    <w:rsid w:val="00A41B59"/>
    <w:rsid w:val="00A41C9A"/>
    <w:rsid w:val="00A42DEF"/>
    <w:rsid w:val="00A4334F"/>
    <w:rsid w:val="00A444E6"/>
    <w:rsid w:val="00A45470"/>
    <w:rsid w:val="00A45CE7"/>
    <w:rsid w:val="00A45D31"/>
    <w:rsid w:val="00A46100"/>
    <w:rsid w:val="00A4679F"/>
    <w:rsid w:val="00A47E87"/>
    <w:rsid w:val="00A503F1"/>
    <w:rsid w:val="00A51387"/>
    <w:rsid w:val="00A536D6"/>
    <w:rsid w:val="00A54762"/>
    <w:rsid w:val="00A54C0C"/>
    <w:rsid w:val="00A55580"/>
    <w:rsid w:val="00A55B8F"/>
    <w:rsid w:val="00A5712E"/>
    <w:rsid w:val="00A5732A"/>
    <w:rsid w:val="00A62405"/>
    <w:rsid w:val="00A627E4"/>
    <w:rsid w:val="00A63FEF"/>
    <w:rsid w:val="00A642EA"/>
    <w:rsid w:val="00A645A0"/>
    <w:rsid w:val="00A64A10"/>
    <w:rsid w:val="00A64C1F"/>
    <w:rsid w:val="00A74127"/>
    <w:rsid w:val="00A74150"/>
    <w:rsid w:val="00A74AB8"/>
    <w:rsid w:val="00A75606"/>
    <w:rsid w:val="00A7716F"/>
    <w:rsid w:val="00A77E4D"/>
    <w:rsid w:val="00A81766"/>
    <w:rsid w:val="00A8185B"/>
    <w:rsid w:val="00A82A9A"/>
    <w:rsid w:val="00A83F9D"/>
    <w:rsid w:val="00A843BE"/>
    <w:rsid w:val="00A8506A"/>
    <w:rsid w:val="00A910F6"/>
    <w:rsid w:val="00A95798"/>
    <w:rsid w:val="00A95B5B"/>
    <w:rsid w:val="00A96EA5"/>
    <w:rsid w:val="00AA0C2D"/>
    <w:rsid w:val="00AA100D"/>
    <w:rsid w:val="00AA1B32"/>
    <w:rsid w:val="00AA3218"/>
    <w:rsid w:val="00AA3805"/>
    <w:rsid w:val="00AA3E67"/>
    <w:rsid w:val="00AA6209"/>
    <w:rsid w:val="00AA63D9"/>
    <w:rsid w:val="00AA7739"/>
    <w:rsid w:val="00AA7FC1"/>
    <w:rsid w:val="00AB2FA2"/>
    <w:rsid w:val="00AB4324"/>
    <w:rsid w:val="00AB483C"/>
    <w:rsid w:val="00AB6616"/>
    <w:rsid w:val="00AB7614"/>
    <w:rsid w:val="00AC0E87"/>
    <w:rsid w:val="00AC1D0A"/>
    <w:rsid w:val="00AC1F15"/>
    <w:rsid w:val="00AC252D"/>
    <w:rsid w:val="00AC4B4A"/>
    <w:rsid w:val="00AC5977"/>
    <w:rsid w:val="00AC62BE"/>
    <w:rsid w:val="00AC68AD"/>
    <w:rsid w:val="00AC7D5F"/>
    <w:rsid w:val="00AD10E9"/>
    <w:rsid w:val="00AD1F4F"/>
    <w:rsid w:val="00AD2884"/>
    <w:rsid w:val="00AD4115"/>
    <w:rsid w:val="00AD4E4E"/>
    <w:rsid w:val="00AD5C7D"/>
    <w:rsid w:val="00AD6A07"/>
    <w:rsid w:val="00AD6DFE"/>
    <w:rsid w:val="00AD77EA"/>
    <w:rsid w:val="00AE1667"/>
    <w:rsid w:val="00AE20F4"/>
    <w:rsid w:val="00AE223E"/>
    <w:rsid w:val="00AE327D"/>
    <w:rsid w:val="00AE534A"/>
    <w:rsid w:val="00AE590D"/>
    <w:rsid w:val="00AE63D4"/>
    <w:rsid w:val="00AE7195"/>
    <w:rsid w:val="00AF26B8"/>
    <w:rsid w:val="00AF319D"/>
    <w:rsid w:val="00AF37B9"/>
    <w:rsid w:val="00AF4D2E"/>
    <w:rsid w:val="00AF5F26"/>
    <w:rsid w:val="00AF698D"/>
    <w:rsid w:val="00AF7E5B"/>
    <w:rsid w:val="00B02FB6"/>
    <w:rsid w:val="00B0766E"/>
    <w:rsid w:val="00B114BD"/>
    <w:rsid w:val="00B11F27"/>
    <w:rsid w:val="00B1213D"/>
    <w:rsid w:val="00B14302"/>
    <w:rsid w:val="00B14D10"/>
    <w:rsid w:val="00B14D59"/>
    <w:rsid w:val="00B167C7"/>
    <w:rsid w:val="00B1681A"/>
    <w:rsid w:val="00B211EB"/>
    <w:rsid w:val="00B21BE2"/>
    <w:rsid w:val="00B21F3D"/>
    <w:rsid w:val="00B244AE"/>
    <w:rsid w:val="00B249D3"/>
    <w:rsid w:val="00B258FA"/>
    <w:rsid w:val="00B31887"/>
    <w:rsid w:val="00B31E60"/>
    <w:rsid w:val="00B32093"/>
    <w:rsid w:val="00B3262A"/>
    <w:rsid w:val="00B33D3E"/>
    <w:rsid w:val="00B34060"/>
    <w:rsid w:val="00B341D7"/>
    <w:rsid w:val="00B35B34"/>
    <w:rsid w:val="00B35C4E"/>
    <w:rsid w:val="00B36B8F"/>
    <w:rsid w:val="00B41D2A"/>
    <w:rsid w:val="00B4219D"/>
    <w:rsid w:val="00B4255B"/>
    <w:rsid w:val="00B4293C"/>
    <w:rsid w:val="00B42A66"/>
    <w:rsid w:val="00B43A42"/>
    <w:rsid w:val="00B448E3"/>
    <w:rsid w:val="00B4510B"/>
    <w:rsid w:val="00B459C8"/>
    <w:rsid w:val="00B45CDF"/>
    <w:rsid w:val="00B467FA"/>
    <w:rsid w:val="00B47283"/>
    <w:rsid w:val="00B479A9"/>
    <w:rsid w:val="00B53F59"/>
    <w:rsid w:val="00B543EF"/>
    <w:rsid w:val="00B55ABD"/>
    <w:rsid w:val="00B564DB"/>
    <w:rsid w:val="00B61053"/>
    <w:rsid w:val="00B612D0"/>
    <w:rsid w:val="00B62A3B"/>
    <w:rsid w:val="00B635F3"/>
    <w:rsid w:val="00B638DA"/>
    <w:rsid w:val="00B63B58"/>
    <w:rsid w:val="00B63C16"/>
    <w:rsid w:val="00B64935"/>
    <w:rsid w:val="00B64BFD"/>
    <w:rsid w:val="00B6620A"/>
    <w:rsid w:val="00B66564"/>
    <w:rsid w:val="00B6694B"/>
    <w:rsid w:val="00B71507"/>
    <w:rsid w:val="00B738E9"/>
    <w:rsid w:val="00B74340"/>
    <w:rsid w:val="00B77BA0"/>
    <w:rsid w:val="00B77FF5"/>
    <w:rsid w:val="00B805D1"/>
    <w:rsid w:val="00B812A0"/>
    <w:rsid w:val="00B81678"/>
    <w:rsid w:val="00B834D5"/>
    <w:rsid w:val="00B84774"/>
    <w:rsid w:val="00B867F4"/>
    <w:rsid w:val="00B871EF"/>
    <w:rsid w:val="00B87F69"/>
    <w:rsid w:val="00B9033D"/>
    <w:rsid w:val="00B916D0"/>
    <w:rsid w:val="00B91EA2"/>
    <w:rsid w:val="00B94BDC"/>
    <w:rsid w:val="00B9570A"/>
    <w:rsid w:val="00B958B4"/>
    <w:rsid w:val="00B95F3A"/>
    <w:rsid w:val="00B965DD"/>
    <w:rsid w:val="00B967AA"/>
    <w:rsid w:val="00B967FF"/>
    <w:rsid w:val="00B97AC8"/>
    <w:rsid w:val="00BA0133"/>
    <w:rsid w:val="00BA28FB"/>
    <w:rsid w:val="00BA33E8"/>
    <w:rsid w:val="00BA4841"/>
    <w:rsid w:val="00BA52D5"/>
    <w:rsid w:val="00BA7DCF"/>
    <w:rsid w:val="00BA7F89"/>
    <w:rsid w:val="00BB21BC"/>
    <w:rsid w:val="00BB359B"/>
    <w:rsid w:val="00BB3D31"/>
    <w:rsid w:val="00BB4086"/>
    <w:rsid w:val="00BC1E71"/>
    <w:rsid w:val="00BC2207"/>
    <w:rsid w:val="00BC2E6A"/>
    <w:rsid w:val="00BC3006"/>
    <w:rsid w:val="00BC39D3"/>
    <w:rsid w:val="00BC4048"/>
    <w:rsid w:val="00BC560F"/>
    <w:rsid w:val="00BC6501"/>
    <w:rsid w:val="00BC72BB"/>
    <w:rsid w:val="00BC7C6A"/>
    <w:rsid w:val="00BC7F0C"/>
    <w:rsid w:val="00BD0016"/>
    <w:rsid w:val="00BD0957"/>
    <w:rsid w:val="00BD0E62"/>
    <w:rsid w:val="00BD1F03"/>
    <w:rsid w:val="00BD3F48"/>
    <w:rsid w:val="00BD4709"/>
    <w:rsid w:val="00BD5CF2"/>
    <w:rsid w:val="00BD67A3"/>
    <w:rsid w:val="00BD6E7A"/>
    <w:rsid w:val="00BD7490"/>
    <w:rsid w:val="00BE214F"/>
    <w:rsid w:val="00BE3410"/>
    <w:rsid w:val="00BE5855"/>
    <w:rsid w:val="00BE6E98"/>
    <w:rsid w:val="00BE7F7B"/>
    <w:rsid w:val="00BE7F85"/>
    <w:rsid w:val="00BF1579"/>
    <w:rsid w:val="00BF17E6"/>
    <w:rsid w:val="00BF39A0"/>
    <w:rsid w:val="00BF4486"/>
    <w:rsid w:val="00BF48F2"/>
    <w:rsid w:val="00BF531F"/>
    <w:rsid w:val="00C024D4"/>
    <w:rsid w:val="00C03540"/>
    <w:rsid w:val="00C03F95"/>
    <w:rsid w:val="00C03FD6"/>
    <w:rsid w:val="00C06E5B"/>
    <w:rsid w:val="00C077CA"/>
    <w:rsid w:val="00C07CA6"/>
    <w:rsid w:val="00C12649"/>
    <w:rsid w:val="00C15CB8"/>
    <w:rsid w:val="00C15EF7"/>
    <w:rsid w:val="00C20B32"/>
    <w:rsid w:val="00C20FA7"/>
    <w:rsid w:val="00C2225A"/>
    <w:rsid w:val="00C24C6A"/>
    <w:rsid w:val="00C26277"/>
    <w:rsid w:val="00C26D8B"/>
    <w:rsid w:val="00C3135B"/>
    <w:rsid w:val="00C32977"/>
    <w:rsid w:val="00C329F0"/>
    <w:rsid w:val="00C354C0"/>
    <w:rsid w:val="00C37F4A"/>
    <w:rsid w:val="00C44F68"/>
    <w:rsid w:val="00C4538D"/>
    <w:rsid w:val="00C505CA"/>
    <w:rsid w:val="00C50D90"/>
    <w:rsid w:val="00C531BE"/>
    <w:rsid w:val="00C558BF"/>
    <w:rsid w:val="00C55E06"/>
    <w:rsid w:val="00C57DC9"/>
    <w:rsid w:val="00C609B5"/>
    <w:rsid w:val="00C617CB"/>
    <w:rsid w:val="00C65E75"/>
    <w:rsid w:val="00C66A2D"/>
    <w:rsid w:val="00C676AF"/>
    <w:rsid w:val="00C67826"/>
    <w:rsid w:val="00C7007B"/>
    <w:rsid w:val="00C7069C"/>
    <w:rsid w:val="00C72380"/>
    <w:rsid w:val="00C734AC"/>
    <w:rsid w:val="00C73A60"/>
    <w:rsid w:val="00C7577F"/>
    <w:rsid w:val="00C80922"/>
    <w:rsid w:val="00C81E8C"/>
    <w:rsid w:val="00C839C8"/>
    <w:rsid w:val="00C85A49"/>
    <w:rsid w:val="00C86755"/>
    <w:rsid w:val="00C8710E"/>
    <w:rsid w:val="00C900F0"/>
    <w:rsid w:val="00C90B4F"/>
    <w:rsid w:val="00C92331"/>
    <w:rsid w:val="00C923B0"/>
    <w:rsid w:val="00C96228"/>
    <w:rsid w:val="00C96F60"/>
    <w:rsid w:val="00CA0F02"/>
    <w:rsid w:val="00CA1679"/>
    <w:rsid w:val="00CA2326"/>
    <w:rsid w:val="00CA2765"/>
    <w:rsid w:val="00CA2A44"/>
    <w:rsid w:val="00CA2F07"/>
    <w:rsid w:val="00CA2FC1"/>
    <w:rsid w:val="00CA2FE7"/>
    <w:rsid w:val="00CA30A0"/>
    <w:rsid w:val="00CA4729"/>
    <w:rsid w:val="00CA4995"/>
    <w:rsid w:val="00CA49F7"/>
    <w:rsid w:val="00CA5471"/>
    <w:rsid w:val="00CA6DC4"/>
    <w:rsid w:val="00CA7D77"/>
    <w:rsid w:val="00CB02A3"/>
    <w:rsid w:val="00CB09FE"/>
    <w:rsid w:val="00CB1695"/>
    <w:rsid w:val="00CB1955"/>
    <w:rsid w:val="00CB3177"/>
    <w:rsid w:val="00CB442C"/>
    <w:rsid w:val="00CB4D37"/>
    <w:rsid w:val="00CB5FB8"/>
    <w:rsid w:val="00CB6CF0"/>
    <w:rsid w:val="00CC45B7"/>
    <w:rsid w:val="00CC6434"/>
    <w:rsid w:val="00CC6599"/>
    <w:rsid w:val="00CC7776"/>
    <w:rsid w:val="00CC7F1D"/>
    <w:rsid w:val="00CD016B"/>
    <w:rsid w:val="00CD1483"/>
    <w:rsid w:val="00CD276A"/>
    <w:rsid w:val="00CD5677"/>
    <w:rsid w:val="00CD68A9"/>
    <w:rsid w:val="00CE0788"/>
    <w:rsid w:val="00CE2D64"/>
    <w:rsid w:val="00CE35F1"/>
    <w:rsid w:val="00CE3DF7"/>
    <w:rsid w:val="00CE4BC9"/>
    <w:rsid w:val="00CE4EFF"/>
    <w:rsid w:val="00CE53F6"/>
    <w:rsid w:val="00CE5CD3"/>
    <w:rsid w:val="00CE5F26"/>
    <w:rsid w:val="00CE66E2"/>
    <w:rsid w:val="00CF1209"/>
    <w:rsid w:val="00CF3062"/>
    <w:rsid w:val="00CF41B6"/>
    <w:rsid w:val="00CF6102"/>
    <w:rsid w:val="00CF6FA2"/>
    <w:rsid w:val="00D003E1"/>
    <w:rsid w:val="00D02A6E"/>
    <w:rsid w:val="00D02BD8"/>
    <w:rsid w:val="00D05EE1"/>
    <w:rsid w:val="00D05F83"/>
    <w:rsid w:val="00D07331"/>
    <w:rsid w:val="00D11DFB"/>
    <w:rsid w:val="00D1233B"/>
    <w:rsid w:val="00D127C8"/>
    <w:rsid w:val="00D128A4"/>
    <w:rsid w:val="00D14F29"/>
    <w:rsid w:val="00D1568D"/>
    <w:rsid w:val="00D15CE6"/>
    <w:rsid w:val="00D15FA3"/>
    <w:rsid w:val="00D17017"/>
    <w:rsid w:val="00D204CA"/>
    <w:rsid w:val="00D2092E"/>
    <w:rsid w:val="00D20E4F"/>
    <w:rsid w:val="00D21F5C"/>
    <w:rsid w:val="00D23736"/>
    <w:rsid w:val="00D23963"/>
    <w:rsid w:val="00D24AC3"/>
    <w:rsid w:val="00D31239"/>
    <w:rsid w:val="00D314FF"/>
    <w:rsid w:val="00D32EB8"/>
    <w:rsid w:val="00D330ED"/>
    <w:rsid w:val="00D33246"/>
    <w:rsid w:val="00D3404F"/>
    <w:rsid w:val="00D34B5B"/>
    <w:rsid w:val="00D34E9D"/>
    <w:rsid w:val="00D3735F"/>
    <w:rsid w:val="00D3771C"/>
    <w:rsid w:val="00D37A3B"/>
    <w:rsid w:val="00D40784"/>
    <w:rsid w:val="00D41063"/>
    <w:rsid w:val="00D431FA"/>
    <w:rsid w:val="00D46E14"/>
    <w:rsid w:val="00D503C8"/>
    <w:rsid w:val="00D50B78"/>
    <w:rsid w:val="00D516B8"/>
    <w:rsid w:val="00D51F35"/>
    <w:rsid w:val="00D53AD0"/>
    <w:rsid w:val="00D54986"/>
    <w:rsid w:val="00D54C21"/>
    <w:rsid w:val="00D555E8"/>
    <w:rsid w:val="00D560A6"/>
    <w:rsid w:val="00D56D6F"/>
    <w:rsid w:val="00D57FA9"/>
    <w:rsid w:val="00D57FD1"/>
    <w:rsid w:val="00D61B37"/>
    <w:rsid w:val="00D61F1F"/>
    <w:rsid w:val="00D646E1"/>
    <w:rsid w:val="00D65964"/>
    <w:rsid w:val="00D672EC"/>
    <w:rsid w:val="00D71134"/>
    <w:rsid w:val="00D71EDB"/>
    <w:rsid w:val="00D7298A"/>
    <w:rsid w:val="00D73AEC"/>
    <w:rsid w:val="00D745E9"/>
    <w:rsid w:val="00D75E17"/>
    <w:rsid w:val="00D76527"/>
    <w:rsid w:val="00D76A58"/>
    <w:rsid w:val="00D7732B"/>
    <w:rsid w:val="00D775C1"/>
    <w:rsid w:val="00D77746"/>
    <w:rsid w:val="00D8015B"/>
    <w:rsid w:val="00D819C2"/>
    <w:rsid w:val="00D81B3B"/>
    <w:rsid w:val="00D82E63"/>
    <w:rsid w:val="00D83B11"/>
    <w:rsid w:val="00D8426A"/>
    <w:rsid w:val="00D84C0C"/>
    <w:rsid w:val="00D86639"/>
    <w:rsid w:val="00D8675F"/>
    <w:rsid w:val="00D87E5D"/>
    <w:rsid w:val="00D92CC2"/>
    <w:rsid w:val="00D94032"/>
    <w:rsid w:val="00D94DDD"/>
    <w:rsid w:val="00D95619"/>
    <w:rsid w:val="00DA0568"/>
    <w:rsid w:val="00DA0CD8"/>
    <w:rsid w:val="00DA26AE"/>
    <w:rsid w:val="00DA3133"/>
    <w:rsid w:val="00DA4FB7"/>
    <w:rsid w:val="00DA5353"/>
    <w:rsid w:val="00DA68B8"/>
    <w:rsid w:val="00DA7E9C"/>
    <w:rsid w:val="00DB12BA"/>
    <w:rsid w:val="00DB1792"/>
    <w:rsid w:val="00DB1932"/>
    <w:rsid w:val="00DB1C44"/>
    <w:rsid w:val="00DB1DDD"/>
    <w:rsid w:val="00DB26DE"/>
    <w:rsid w:val="00DB7C04"/>
    <w:rsid w:val="00DC055A"/>
    <w:rsid w:val="00DC1342"/>
    <w:rsid w:val="00DC3FEC"/>
    <w:rsid w:val="00DC520E"/>
    <w:rsid w:val="00DD352A"/>
    <w:rsid w:val="00DD423A"/>
    <w:rsid w:val="00DD4DA5"/>
    <w:rsid w:val="00DD4FEF"/>
    <w:rsid w:val="00DD512C"/>
    <w:rsid w:val="00DD52FF"/>
    <w:rsid w:val="00DE1C2E"/>
    <w:rsid w:val="00DE2FDA"/>
    <w:rsid w:val="00DE340A"/>
    <w:rsid w:val="00DE5562"/>
    <w:rsid w:val="00DE79FE"/>
    <w:rsid w:val="00DF1277"/>
    <w:rsid w:val="00DF1745"/>
    <w:rsid w:val="00DF1A7B"/>
    <w:rsid w:val="00DF1F54"/>
    <w:rsid w:val="00DF399B"/>
    <w:rsid w:val="00DF7F67"/>
    <w:rsid w:val="00E00C0F"/>
    <w:rsid w:val="00E01AE9"/>
    <w:rsid w:val="00E0355D"/>
    <w:rsid w:val="00E03E50"/>
    <w:rsid w:val="00E04113"/>
    <w:rsid w:val="00E0574F"/>
    <w:rsid w:val="00E06834"/>
    <w:rsid w:val="00E07AE1"/>
    <w:rsid w:val="00E10F3B"/>
    <w:rsid w:val="00E12ACC"/>
    <w:rsid w:val="00E13733"/>
    <w:rsid w:val="00E14FA1"/>
    <w:rsid w:val="00E155E9"/>
    <w:rsid w:val="00E15814"/>
    <w:rsid w:val="00E17547"/>
    <w:rsid w:val="00E2027A"/>
    <w:rsid w:val="00E213A7"/>
    <w:rsid w:val="00E241DC"/>
    <w:rsid w:val="00E24217"/>
    <w:rsid w:val="00E24226"/>
    <w:rsid w:val="00E24E2D"/>
    <w:rsid w:val="00E25666"/>
    <w:rsid w:val="00E2576F"/>
    <w:rsid w:val="00E271E5"/>
    <w:rsid w:val="00E27E27"/>
    <w:rsid w:val="00E27F61"/>
    <w:rsid w:val="00E31A56"/>
    <w:rsid w:val="00E32541"/>
    <w:rsid w:val="00E34CF1"/>
    <w:rsid w:val="00E34EFD"/>
    <w:rsid w:val="00E358BF"/>
    <w:rsid w:val="00E35BFE"/>
    <w:rsid w:val="00E364A7"/>
    <w:rsid w:val="00E366B6"/>
    <w:rsid w:val="00E3700F"/>
    <w:rsid w:val="00E37744"/>
    <w:rsid w:val="00E37A28"/>
    <w:rsid w:val="00E41487"/>
    <w:rsid w:val="00E417F7"/>
    <w:rsid w:val="00E41CAD"/>
    <w:rsid w:val="00E41EA3"/>
    <w:rsid w:val="00E430A7"/>
    <w:rsid w:val="00E438F2"/>
    <w:rsid w:val="00E44D2F"/>
    <w:rsid w:val="00E4573D"/>
    <w:rsid w:val="00E47230"/>
    <w:rsid w:val="00E474CC"/>
    <w:rsid w:val="00E50087"/>
    <w:rsid w:val="00E50D66"/>
    <w:rsid w:val="00E51327"/>
    <w:rsid w:val="00E5196E"/>
    <w:rsid w:val="00E51B4C"/>
    <w:rsid w:val="00E51B7A"/>
    <w:rsid w:val="00E51F48"/>
    <w:rsid w:val="00E53779"/>
    <w:rsid w:val="00E555A6"/>
    <w:rsid w:val="00E55B3C"/>
    <w:rsid w:val="00E561C3"/>
    <w:rsid w:val="00E56693"/>
    <w:rsid w:val="00E56B3E"/>
    <w:rsid w:val="00E57D71"/>
    <w:rsid w:val="00E608A8"/>
    <w:rsid w:val="00E62ADD"/>
    <w:rsid w:val="00E63717"/>
    <w:rsid w:val="00E6424D"/>
    <w:rsid w:val="00E67840"/>
    <w:rsid w:val="00E72330"/>
    <w:rsid w:val="00E72971"/>
    <w:rsid w:val="00E744E2"/>
    <w:rsid w:val="00E74A98"/>
    <w:rsid w:val="00E75534"/>
    <w:rsid w:val="00E81388"/>
    <w:rsid w:val="00E819CF"/>
    <w:rsid w:val="00E84E98"/>
    <w:rsid w:val="00E855FE"/>
    <w:rsid w:val="00E86A8E"/>
    <w:rsid w:val="00E87287"/>
    <w:rsid w:val="00E87B17"/>
    <w:rsid w:val="00E90870"/>
    <w:rsid w:val="00E90AD4"/>
    <w:rsid w:val="00E91AF0"/>
    <w:rsid w:val="00E93830"/>
    <w:rsid w:val="00E95475"/>
    <w:rsid w:val="00E95C67"/>
    <w:rsid w:val="00E96FBB"/>
    <w:rsid w:val="00E974D2"/>
    <w:rsid w:val="00E979B6"/>
    <w:rsid w:val="00EA0382"/>
    <w:rsid w:val="00EA044E"/>
    <w:rsid w:val="00EA0DA1"/>
    <w:rsid w:val="00EA2E4D"/>
    <w:rsid w:val="00EA3E8B"/>
    <w:rsid w:val="00EA44C4"/>
    <w:rsid w:val="00EA44E1"/>
    <w:rsid w:val="00EA5937"/>
    <w:rsid w:val="00EA7B49"/>
    <w:rsid w:val="00EB02E1"/>
    <w:rsid w:val="00EB115A"/>
    <w:rsid w:val="00EB449C"/>
    <w:rsid w:val="00EB54B6"/>
    <w:rsid w:val="00EB5F8E"/>
    <w:rsid w:val="00EC0CCA"/>
    <w:rsid w:val="00EC2520"/>
    <w:rsid w:val="00EC2858"/>
    <w:rsid w:val="00EC2867"/>
    <w:rsid w:val="00EC4048"/>
    <w:rsid w:val="00EC5A8F"/>
    <w:rsid w:val="00EC708E"/>
    <w:rsid w:val="00EC7846"/>
    <w:rsid w:val="00ED04FA"/>
    <w:rsid w:val="00ED0CD1"/>
    <w:rsid w:val="00ED270E"/>
    <w:rsid w:val="00ED4027"/>
    <w:rsid w:val="00ED43D7"/>
    <w:rsid w:val="00ED501F"/>
    <w:rsid w:val="00ED60A8"/>
    <w:rsid w:val="00ED6EF9"/>
    <w:rsid w:val="00ED75C6"/>
    <w:rsid w:val="00EE183F"/>
    <w:rsid w:val="00EE1C6E"/>
    <w:rsid w:val="00EE2275"/>
    <w:rsid w:val="00EE23C8"/>
    <w:rsid w:val="00EE307E"/>
    <w:rsid w:val="00EE3198"/>
    <w:rsid w:val="00EE4145"/>
    <w:rsid w:val="00EE43FB"/>
    <w:rsid w:val="00EE4D04"/>
    <w:rsid w:val="00EE4D79"/>
    <w:rsid w:val="00EE4F94"/>
    <w:rsid w:val="00EE7A5C"/>
    <w:rsid w:val="00EE7A97"/>
    <w:rsid w:val="00EF02AD"/>
    <w:rsid w:val="00EF071D"/>
    <w:rsid w:val="00EF0EE7"/>
    <w:rsid w:val="00EF1F34"/>
    <w:rsid w:val="00EF2A58"/>
    <w:rsid w:val="00EF2BCA"/>
    <w:rsid w:val="00EF3612"/>
    <w:rsid w:val="00EF4D64"/>
    <w:rsid w:val="00EF5424"/>
    <w:rsid w:val="00EF5FC0"/>
    <w:rsid w:val="00EF61FF"/>
    <w:rsid w:val="00F00C10"/>
    <w:rsid w:val="00F0242F"/>
    <w:rsid w:val="00F03B8A"/>
    <w:rsid w:val="00F03E89"/>
    <w:rsid w:val="00F04CEF"/>
    <w:rsid w:val="00F04D34"/>
    <w:rsid w:val="00F0785F"/>
    <w:rsid w:val="00F10252"/>
    <w:rsid w:val="00F110D5"/>
    <w:rsid w:val="00F113F2"/>
    <w:rsid w:val="00F11F69"/>
    <w:rsid w:val="00F12814"/>
    <w:rsid w:val="00F12A10"/>
    <w:rsid w:val="00F12B9D"/>
    <w:rsid w:val="00F14487"/>
    <w:rsid w:val="00F15015"/>
    <w:rsid w:val="00F156F6"/>
    <w:rsid w:val="00F167F7"/>
    <w:rsid w:val="00F16868"/>
    <w:rsid w:val="00F16AE8"/>
    <w:rsid w:val="00F16B51"/>
    <w:rsid w:val="00F174D1"/>
    <w:rsid w:val="00F179E4"/>
    <w:rsid w:val="00F21B35"/>
    <w:rsid w:val="00F21C54"/>
    <w:rsid w:val="00F240E9"/>
    <w:rsid w:val="00F26D6C"/>
    <w:rsid w:val="00F26FDC"/>
    <w:rsid w:val="00F272A1"/>
    <w:rsid w:val="00F27D2D"/>
    <w:rsid w:val="00F31E3F"/>
    <w:rsid w:val="00F31EA4"/>
    <w:rsid w:val="00F33AD9"/>
    <w:rsid w:val="00F353BB"/>
    <w:rsid w:val="00F36B89"/>
    <w:rsid w:val="00F37039"/>
    <w:rsid w:val="00F40802"/>
    <w:rsid w:val="00F416BE"/>
    <w:rsid w:val="00F4537E"/>
    <w:rsid w:val="00F50E4D"/>
    <w:rsid w:val="00F52C80"/>
    <w:rsid w:val="00F569BA"/>
    <w:rsid w:val="00F56AFF"/>
    <w:rsid w:val="00F57087"/>
    <w:rsid w:val="00F57185"/>
    <w:rsid w:val="00F6011D"/>
    <w:rsid w:val="00F6331D"/>
    <w:rsid w:val="00F64334"/>
    <w:rsid w:val="00F65979"/>
    <w:rsid w:val="00F66186"/>
    <w:rsid w:val="00F66919"/>
    <w:rsid w:val="00F7074B"/>
    <w:rsid w:val="00F742EE"/>
    <w:rsid w:val="00F74C49"/>
    <w:rsid w:val="00F75138"/>
    <w:rsid w:val="00F77100"/>
    <w:rsid w:val="00F80254"/>
    <w:rsid w:val="00F8171D"/>
    <w:rsid w:val="00F81D05"/>
    <w:rsid w:val="00F82740"/>
    <w:rsid w:val="00F8281C"/>
    <w:rsid w:val="00F849FC"/>
    <w:rsid w:val="00F8677D"/>
    <w:rsid w:val="00F867E0"/>
    <w:rsid w:val="00F871AA"/>
    <w:rsid w:val="00F878B6"/>
    <w:rsid w:val="00F914DE"/>
    <w:rsid w:val="00F92F86"/>
    <w:rsid w:val="00F93A3D"/>
    <w:rsid w:val="00F93D54"/>
    <w:rsid w:val="00F94504"/>
    <w:rsid w:val="00F951AF"/>
    <w:rsid w:val="00F97234"/>
    <w:rsid w:val="00FA011A"/>
    <w:rsid w:val="00FA14B7"/>
    <w:rsid w:val="00FA6CB2"/>
    <w:rsid w:val="00FA6EEA"/>
    <w:rsid w:val="00FA75A3"/>
    <w:rsid w:val="00FB1EAB"/>
    <w:rsid w:val="00FB2B9D"/>
    <w:rsid w:val="00FB4ED3"/>
    <w:rsid w:val="00FB6505"/>
    <w:rsid w:val="00FB7968"/>
    <w:rsid w:val="00FB7DFD"/>
    <w:rsid w:val="00FB7E71"/>
    <w:rsid w:val="00FC1AC5"/>
    <w:rsid w:val="00FC237C"/>
    <w:rsid w:val="00FC3E84"/>
    <w:rsid w:val="00FC3EF0"/>
    <w:rsid w:val="00FC44F1"/>
    <w:rsid w:val="00FC54CD"/>
    <w:rsid w:val="00FC5D87"/>
    <w:rsid w:val="00FC6DEB"/>
    <w:rsid w:val="00FC7922"/>
    <w:rsid w:val="00FC7BCB"/>
    <w:rsid w:val="00FD060E"/>
    <w:rsid w:val="00FD0B42"/>
    <w:rsid w:val="00FD1FD5"/>
    <w:rsid w:val="00FD25DA"/>
    <w:rsid w:val="00FD2D2A"/>
    <w:rsid w:val="00FD3385"/>
    <w:rsid w:val="00FD3672"/>
    <w:rsid w:val="00FD39AE"/>
    <w:rsid w:val="00FD473E"/>
    <w:rsid w:val="00FD62C2"/>
    <w:rsid w:val="00FD65CA"/>
    <w:rsid w:val="00FE0823"/>
    <w:rsid w:val="00FE0F09"/>
    <w:rsid w:val="00FE3ED5"/>
    <w:rsid w:val="00FE4A5A"/>
    <w:rsid w:val="00FE67FD"/>
    <w:rsid w:val="00FF1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43E2C3F"/>
  <w15:docId w15:val="{105E0883-5780-463D-858F-87D89EE6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4C6"/>
    <w:pPr>
      <w:jc w:val="both"/>
    </w:pPr>
    <w:rPr>
      <w:rFonts w:ascii="Arial" w:hAnsi="Arial"/>
      <w:lang w:val="en-IE" w:eastAsia="en-US"/>
    </w:rPr>
  </w:style>
  <w:style w:type="paragraph" w:styleId="Heading1">
    <w:name w:val="heading 1"/>
    <w:aliases w:val="H1"/>
    <w:basedOn w:val="Normal"/>
    <w:next w:val="Normal"/>
    <w:qFormat/>
    <w:pPr>
      <w:keepNext/>
      <w:outlineLvl w:val="0"/>
    </w:pPr>
    <w:rPr>
      <w:b/>
      <w:cap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outlineLvl w:val="4"/>
    </w:pPr>
  </w:style>
  <w:style w:type="paragraph" w:styleId="Heading6">
    <w:name w:val="heading 6"/>
    <w:basedOn w:val="Normal"/>
    <w:next w:val="Normal"/>
    <w:qFormat/>
    <w:pPr>
      <w:keepNext/>
      <w:outlineLvl w:val="5"/>
    </w:pPr>
  </w:style>
  <w:style w:type="paragraph" w:styleId="Heading7">
    <w:name w:val="heading 7"/>
    <w:aliases w:val="H7"/>
    <w:basedOn w:val="Normal"/>
    <w:next w:val="Normal"/>
    <w:qFormat/>
    <w:pPr>
      <w:keepNext/>
      <w:outlineLvl w:val="6"/>
    </w:pPr>
  </w:style>
  <w:style w:type="paragraph" w:styleId="Heading8">
    <w:name w:val="heading 8"/>
    <w:aliases w:val="Appendix,AppendixSubHead"/>
    <w:basedOn w:val="Normal"/>
    <w:next w:val="Normal"/>
    <w:qFormat/>
    <w:pPr>
      <w:keepNext/>
      <w:outlineLvl w:val="7"/>
    </w:pPr>
  </w:style>
  <w:style w:type="paragraph" w:styleId="Heading9">
    <w:name w:val="heading 9"/>
    <w:aliases w:val="AppendixBodyHead"/>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UMBERING">
    <w:name w:val="(1) - NUMBERING"/>
    <w:basedOn w:val="Normal"/>
    <w:next w:val="BodyText"/>
    <w:pPr>
      <w:numPr>
        <w:numId w:val="15"/>
      </w:numPr>
      <w:tabs>
        <w:tab w:val="clear" w:pos="709"/>
        <w:tab w:val="num" w:pos="360"/>
      </w:tabs>
      <w:spacing w:after="240"/>
      <w:ind w:left="0" w:firstLine="0"/>
    </w:pPr>
  </w:style>
  <w:style w:type="paragraph" w:styleId="BodyText">
    <w:name w:val="Body Text"/>
    <w:aliases w:val="BODY TEXT,BT,Body Test,Body Text Char,Body Text Char Char Char,Body Text Char Char1 Char,Body Text Char1,Body Text Char2 Char,Body text,Bold Heading,b,b Char,body text,bt,by,indent .5,para: Body,ybody Char Char,ybody Char Char Char Char Char"/>
    <w:basedOn w:val="Normal"/>
    <w:link w:val="BodyTextChar2"/>
    <w:qFormat/>
    <w:pPr>
      <w:spacing w:after="240"/>
    </w:pPr>
    <w:rPr>
      <w:szCs w:val="24"/>
    </w:rPr>
  </w:style>
  <w:style w:type="paragraph" w:customStyle="1" w:styleId="A-NUMBERING">
    <w:name w:val="A. - NUMBERING"/>
    <w:basedOn w:val="Normal"/>
    <w:next w:val="BodyText"/>
    <w:pPr>
      <w:numPr>
        <w:numId w:val="16"/>
      </w:numPr>
      <w:spacing w:after="240"/>
    </w:pPr>
  </w:style>
  <w:style w:type="paragraph" w:styleId="BlockText">
    <w:name w:val="Block Text"/>
    <w:basedOn w:val="Normal"/>
    <w:pPr>
      <w:spacing w:after="120"/>
      <w:ind w:left="1440" w:right="1440"/>
    </w:pPr>
  </w:style>
  <w:style w:type="paragraph" w:customStyle="1" w:styleId="Body1">
    <w:name w:val="Body 1"/>
    <w:basedOn w:val="Normal"/>
    <w:link w:val="Body1Char"/>
    <w:uiPriority w:val="99"/>
    <w:qFormat/>
    <w:pPr>
      <w:spacing w:after="240"/>
      <w:ind w:left="709"/>
    </w:pPr>
  </w:style>
  <w:style w:type="paragraph" w:customStyle="1" w:styleId="Body2">
    <w:name w:val="Body 2"/>
    <w:basedOn w:val="Normal"/>
    <w:pPr>
      <w:spacing w:after="240"/>
      <w:ind w:left="709"/>
    </w:pPr>
  </w:style>
  <w:style w:type="paragraph" w:customStyle="1" w:styleId="Body3">
    <w:name w:val="Body 3"/>
    <w:basedOn w:val="Body2"/>
    <w:link w:val="Body3Char"/>
    <w:pPr>
      <w:ind w:left="1417"/>
    </w:pPr>
  </w:style>
  <w:style w:type="paragraph" w:customStyle="1" w:styleId="Body4">
    <w:name w:val="Body 4"/>
    <w:basedOn w:val="Body3"/>
    <w:pPr>
      <w:ind w:left="2126"/>
    </w:pPr>
  </w:style>
  <w:style w:type="paragraph" w:customStyle="1" w:styleId="Body5">
    <w:name w:val="Body 5"/>
    <w:basedOn w:val="Body4"/>
    <w:pPr>
      <w:ind w:left="2835"/>
    </w:pPr>
  </w:style>
  <w:style w:type="paragraph" w:customStyle="1" w:styleId="Body6">
    <w:name w:val="Body 6"/>
    <w:basedOn w:val="Body5"/>
    <w:pPr>
      <w:ind w:left="3543"/>
    </w:pPr>
  </w:style>
  <w:style w:type="character" w:styleId="EndnoteReference">
    <w:name w:val="endnote reference"/>
    <w:semiHidden/>
    <w:rPr>
      <w:rFonts w:ascii="Arial" w:hAnsi="Arial"/>
      <w:sz w:val="20"/>
      <w:vertAlign w:val="superscript"/>
    </w:rPr>
  </w:style>
  <w:style w:type="paragraph" w:styleId="EndnoteText">
    <w:name w:val="endnote text"/>
    <w:basedOn w:val="Normal"/>
    <w:semiHidden/>
    <w:pPr>
      <w:spacing w:after="240"/>
      <w:ind w:left="709" w:hanging="709"/>
    </w:pPr>
    <w:rPr>
      <w:sz w:val="18"/>
    </w:rPr>
  </w:style>
  <w:style w:type="paragraph" w:styleId="Footer">
    <w:name w:val="footer"/>
    <w:basedOn w:val="Normal"/>
    <w:link w:val="FooterChar"/>
    <w:uiPriority w:val="99"/>
    <w:pPr>
      <w:tabs>
        <w:tab w:val="center" w:pos="4535"/>
        <w:tab w:val="right" w:pos="9071"/>
      </w:tabs>
    </w:pPr>
    <w:rPr>
      <w:sz w:val="16"/>
    </w:rPr>
  </w:style>
  <w:style w:type="character" w:styleId="FootnoteReference">
    <w:name w:val="footnote reference"/>
    <w:aliases w:val="*"/>
    <w:uiPriority w:val="99"/>
    <w:rPr>
      <w:rFonts w:ascii="Arial" w:hAnsi="Arial"/>
      <w:sz w:val="20"/>
      <w:vertAlign w:val="superscript"/>
    </w:rPr>
  </w:style>
  <w:style w:type="paragraph" w:styleId="FootnoteText">
    <w:name w:val="footnote text"/>
    <w:aliases w:val="Car,footnote text1"/>
    <w:basedOn w:val="Normal"/>
    <w:link w:val="FootnoteTextChar"/>
    <w:uiPriority w:val="99"/>
    <w:pPr>
      <w:spacing w:after="240"/>
      <w:ind w:left="709" w:hanging="709"/>
    </w:pPr>
    <w:rPr>
      <w:sz w:val="18"/>
    </w:rPr>
  </w:style>
  <w:style w:type="paragraph" w:styleId="Header">
    <w:name w:val="header"/>
    <w:aliases w:val="Guideline"/>
    <w:basedOn w:val="Normal"/>
    <w:link w:val="HeaderChar"/>
    <w:uiPriority w:val="99"/>
    <w:pPr>
      <w:tabs>
        <w:tab w:val="center" w:pos="4535"/>
        <w:tab w:val="right" w:pos="9071"/>
      </w:tabs>
    </w:pPr>
  </w:style>
  <w:style w:type="paragraph" w:customStyle="1" w:styleId="Level1">
    <w:name w:val="Level 1"/>
    <w:basedOn w:val="Normal"/>
    <w:next w:val="Body1"/>
    <w:pPr>
      <w:keepNext/>
      <w:numPr>
        <w:numId w:val="11"/>
      </w:numPr>
      <w:spacing w:after="240"/>
    </w:pPr>
    <w:rPr>
      <w:b/>
      <w:caps/>
    </w:rPr>
  </w:style>
  <w:style w:type="paragraph" w:customStyle="1" w:styleId="Level2">
    <w:name w:val="Level 2"/>
    <w:basedOn w:val="Normal"/>
    <w:next w:val="Body2"/>
    <w:pPr>
      <w:numPr>
        <w:ilvl w:val="1"/>
        <w:numId w:val="11"/>
      </w:numPr>
      <w:spacing w:after="240"/>
    </w:pPr>
  </w:style>
  <w:style w:type="paragraph" w:customStyle="1" w:styleId="Level3">
    <w:name w:val="Level 3"/>
    <w:basedOn w:val="Normal"/>
    <w:next w:val="Body3"/>
    <w:pPr>
      <w:numPr>
        <w:ilvl w:val="2"/>
        <w:numId w:val="11"/>
      </w:numPr>
      <w:spacing w:after="240"/>
    </w:pPr>
  </w:style>
  <w:style w:type="paragraph" w:customStyle="1" w:styleId="Level4">
    <w:name w:val="Level 4"/>
    <w:basedOn w:val="Normal"/>
    <w:next w:val="Body4"/>
    <w:pPr>
      <w:numPr>
        <w:ilvl w:val="3"/>
        <w:numId w:val="11"/>
      </w:numPr>
      <w:spacing w:after="240"/>
    </w:pPr>
  </w:style>
  <w:style w:type="paragraph" w:customStyle="1" w:styleId="Level5">
    <w:name w:val="Level 5"/>
    <w:basedOn w:val="Normal"/>
    <w:next w:val="Body5"/>
    <w:pPr>
      <w:numPr>
        <w:ilvl w:val="4"/>
        <w:numId w:val="11"/>
      </w:numPr>
      <w:spacing w:after="240"/>
    </w:pPr>
  </w:style>
  <w:style w:type="paragraph" w:customStyle="1" w:styleId="MA-ArtsLevel1">
    <w:name w:val="M&amp;A - Arts Level 1"/>
    <w:basedOn w:val="Normal"/>
    <w:next w:val="Body1"/>
    <w:pPr>
      <w:keepNext/>
      <w:tabs>
        <w:tab w:val="num" w:pos="709"/>
      </w:tabs>
      <w:spacing w:after="240"/>
      <w:ind w:left="709" w:hanging="709"/>
    </w:pPr>
    <w:rPr>
      <w:b/>
      <w:caps/>
    </w:rPr>
  </w:style>
  <w:style w:type="paragraph" w:customStyle="1" w:styleId="MA-ArtsLevel2">
    <w:name w:val="M&amp;A - Arts Level 2"/>
    <w:basedOn w:val="Normal"/>
    <w:next w:val="Body2"/>
    <w:pPr>
      <w:tabs>
        <w:tab w:val="num" w:pos="709"/>
      </w:tabs>
      <w:spacing w:after="240"/>
      <w:ind w:left="709" w:hanging="709"/>
    </w:pPr>
  </w:style>
  <w:style w:type="paragraph" w:customStyle="1" w:styleId="MA-ArtsLevel3">
    <w:name w:val="M&amp;A - Arts Level 3"/>
    <w:basedOn w:val="Normal"/>
    <w:next w:val="Body3"/>
    <w:pPr>
      <w:numPr>
        <w:ilvl w:val="2"/>
        <w:numId w:val="12"/>
      </w:numPr>
      <w:spacing w:after="240"/>
    </w:pPr>
  </w:style>
  <w:style w:type="paragraph" w:customStyle="1" w:styleId="MA-ArtsLevel4">
    <w:name w:val="M&amp;A - Arts Level 4"/>
    <w:basedOn w:val="Normal"/>
    <w:next w:val="Body4"/>
    <w:pPr>
      <w:numPr>
        <w:ilvl w:val="3"/>
        <w:numId w:val="12"/>
      </w:numPr>
      <w:spacing w:after="240"/>
    </w:pPr>
  </w:style>
  <w:style w:type="paragraph" w:customStyle="1" w:styleId="MA-ArtsLevel5">
    <w:name w:val="M&amp;A - Arts Level 5"/>
    <w:basedOn w:val="Normal"/>
    <w:next w:val="Body5"/>
    <w:pPr>
      <w:numPr>
        <w:ilvl w:val="4"/>
        <w:numId w:val="12"/>
      </w:numPr>
      <w:spacing w:after="240"/>
    </w:pPr>
  </w:style>
  <w:style w:type="paragraph" w:customStyle="1" w:styleId="MA-MemoLevel1">
    <w:name w:val="M&amp;A - Memo Level 1"/>
    <w:basedOn w:val="Normal"/>
    <w:next w:val="Body1"/>
    <w:pPr>
      <w:tabs>
        <w:tab w:val="num" w:pos="709"/>
      </w:tabs>
      <w:spacing w:after="240"/>
      <w:ind w:left="709" w:hanging="709"/>
    </w:pPr>
  </w:style>
  <w:style w:type="paragraph" w:customStyle="1" w:styleId="MA-MemoLevel2">
    <w:name w:val="M&amp;A - Memo Level 2"/>
    <w:basedOn w:val="Normal"/>
    <w:next w:val="Body3"/>
    <w:pPr>
      <w:tabs>
        <w:tab w:val="num" w:pos="1417"/>
      </w:tabs>
      <w:spacing w:after="240"/>
      <w:ind w:left="1417" w:hanging="708"/>
    </w:pPr>
  </w:style>
  <w:style w:type="paragraph" w:customStyle="1" w:styleId="MA-MemoLevel3">
    <w:name w:val="M&amp;A - Memo Level 3"/>
    <w:basedOn w:val="Normal"/>
    <w:next w:val="Body4"/>
    <w:pPr>
      <w:numPr>
        <w:ilvl w:val="2"/>
        <w:numId w:val="13"/>
      </w:numPr>
      <w:spacing w:after="240"/>
    </w:pPr>
  </w:style>
  <w:style w:type="paragraph" w:customStyle="1" w:styleId="MA-MemoLevel4">
    <w:name w:val="M&amp;A - Memo Level 4"/>
    <w:basedOn w:val="Normal"/>
    <w:next w:val="Body5"/>
    <w:pPr>
      <w:numPr>
        <w:ilvl w:val="3"/>
        <w:numId w:val="13"/>
      </w:numPr>
      <w:spacing w:after="240"/>
    </w:pPr>
  </w:style>
  <w:style w:type="paragraph" w:customStyle="1" w:styleId="MA-MemoLevel5">
    <w:name w:val="M&amp;A - Memo Level 5"/>
    <w:basedOn w:val="Normal"/>
    <w:next w:val="Body6"/>
    <w:pPr>
      <w:numPr>
        <w:ilvl w:val="4"/>
        <w:numId w:val="13"/>
      </w:numPr>
      <w:spacing w:after="24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77" w:hanging="1077"/>
    </w:pPr>
    <w:rPr>
      <w:sz w:val="24"/>
    </w:rPr>
  </w:style>
  <w:style w:type="paragraph" w:customStyle="1" w:styleId="NA-LEVEL1">
    <w:name w:val="NA - LEVEL 1"/>
    <w:basedOn w:val="Normal"/>
    <w:next w:val="Body1"/>
    <w:qFormat/>
    <w:pPr>
      <w:numPr>
        <w:numId w:val="14"/>
      </w:numPr>
      <w:spacing w:after="240"/>
    </w:pPr>
  </w:style>
  <w:style w:type="paragraph" w:customStyle="1" w:styleId="NA-LEVEL2">
    <w:name w:val="NA - LEVEL 2"/>
    <w:basedOn w:val="Normal"/>
    <w:next w:val="Body3"/>
    <w:qFormat/>
    <w:pPr>
      <w:numPr>
        <w:ilvl w:val="1"/>
        <w:numId w:val="14"/>
      </w:numPr>
      <w:spacing w:after="240"/>
    </w:pPr>
  </w:style>
  <w:style w:type="paragraph" w:customStyle="1" w:styleId="NA-LEVEL3">
    <w:name w:val="NA - LEVEL 3"/>
    <w:basedOn w:val="Normal"/>
    <w:next w:val="Body4"/>
    <w:qFormat/>
    <w:pPr>
      <w:numPr>
        <w:ilvl w:val="2"/>
        <w:numId w:val="14"/>
      </w:numPr>
      <w:spacing w:after="240"/>
    </w:pPr>
  </w:style>
  <w:style w:type="paragraph" w:customStyle="1" w:styleId="NA-LEVEL4">
    <w:name w:val="NA - LEVEL 4"/>
    <w:basedOn w:val="Normal"/>
    <w:next w:val="Body5"/>
    <w:pPr>
      <w:tabs>
        <w:tab w:val="num" w:pos="2835"/>
      </w:tabs>
      <w:spacing w:after="240"/>
      <w:ind w:left="2835" w:hanging="709"/>
    </w:pPr>
  </w:style>
  <w:style w:type="paragraph" w:customStyle="1" w:styleId="NA-LEVEL5">
    <w:name w:val="NA - LEVEL 5"/>
    <w:basedOn w:val="Normal"/>
    <w:next w:val="Body6"/>
    <w:pPr>
      <w:tabs>
        <w:tab w:val="num" w:pos="3543"/>
      </w:tabs>
      <w:spacing w:after="240"/>
      <w:ind w:left="3543" w:hanging="708"/>
    </w:pPr>
  </w:style>
  <w:style w:type="character" w:customStyle="1" w:styleId="NormalCharacter">
    <w:name w:val="Normal Character"/>
    <w:basedOn w:val="DefaultParagraphFont"/>
    <w:uiPriority w:val="99"/>
    <w:rPr>
      <w:rFonts w:ascii="Arial" w:hAnsi="Arial"/>
      <w:sz w:val="20"/>
    </w:rPr>
  </w:style>
  <w:style w:type="character" w:styleId="PageNumber">
    <w:name w:val="page number"/>
    <w:basedOn w:val="DefaultParagraphFont"/>
    <w:uiPriority w:val="99"/>
    <w:rPr>
      <w:rFonts w:ascii="Arial" w:hAnsi="Arial"/>
      <w:sz w:val="20"/>
    </w:rPr>
  </w:style>
  <w:style w:type="paragraph" w:customStyle="1" w:styleId="PROSPECTUS-LEVEL1">
    <w:name w:val="PROSPECTUS - LEVEL 1"/>
    <w:basedOn w:val="Normal"/>
    <w:next w:val="PROSPECTUSSUMMARY-LEVEL1"/>
    <w:pPr>
      <w:keepNext/>
      <w:numPr>
        <w:numId w:val="20"/>
      </w:numPr>
      <w:spacing w:after="240"/>
      <w:jc w:val="left"/>
    </w:pPr>
    <w:rPr>
      <w:b/>
      <w:color w:val="C0C0C0"/>
      <w:sz w:val="32"/>
    </w:rPr>
  </w:style>
  <w:style w:type="paragraph" w:customStyle="1" w:styleId="PROSPECTUS-LEVEL2">
    <w:name w:val="PROSPECTUS - LEVEL 2"/>
    <w:basedOn w:val="Normal"/>
    <w:next w:val="BodyText"/>
    <w:pPr>
      <w:keepNext/>
      <w:numPr>
        <w:ilvl w:val="1"/>
        <w:numId w:val="20"/>
      </w:numPr>
      <w:spacing w:after="240"/>
    </w:pPr>
    <w:rPr>
      <w:b/>
    </w:rPr>
  </w:style>
  <w:style w:type="paragraph" w:customStyle="1" w:styleId="SCH2-LEVEL6">
    <w:name w:val="SCH 2 - LEVEL 6"/>
    <w:basedOn w:val="SCH2-LEVEL5"/>
    <w:next w:val="Body6"/>
    <w:pPr>
      <w:numPr>
        <w:ilvl w:val="5"/>
      </w:numPr>
    </w:pPr>
  </w:style>
  <w:style w:type="paragraph" w:customStyle="1" w:styleId="SCH2-LEVEL5">
    <w:name w:val="SCH 2 - LEVEL 5"/>
    <w:basedOn w:val="Normal"/>
    <w:next w:val="Body5"/>
    <w:pPr>
      <w:numPr>
        <w:ilvl w:val="4"/>
        <w:numId w:val="18"/>
      </w:numPr>
      <w:spacing w:after="240"/>
    </w:pPr>
  </w:style>
  <w:style w:type="paragraph" w:customStyle="1" w:styleId="PROSPECTUSSUMMARY-LEVEL2">
    <w:name w:val="PROSPECTUS SUMMARY - LEVEL 2"/>
    <w:basedOn w:val="BodyText"/>
    <w:next w:val="BodyText"/>
    <w:pPr>
      <w:keepNext/>
    </w:pPr>
    <w:rPr>
      <w:b/>
    </w:rPr>
  </w:style>
  <w:style w:type="paragraph" w:customStyle="1" w:styleId="SCH-LEVEL1">
    <w:name w:val="SCH - LEVEL 1"/>
    <w:basedOn w:val="Normal"/>
    <w:next w:val="Body1"/>
    <w:pPr>
      <w:keepNext/>
      <w:tabs>
        <w:tab w:val="num" w:pos="709"/>
      </w:tabs>
      <w:spacing w:after="240"/>
      <w:ind w:left="709" w:hanging="709"/>
    </w:pPr>
    <w:rPr>
      <w:b/>
      <w:caps/>
    </w:rPr>
  </w:style>
  <w:style w:type="paragraph" w:customStyle="1" w:styleId="SCH-LEVEL2">
    <w:name w:val="SCH - LEVEL 2"/>
    <w:basedOn w:val="Normal"/>
    <w:next w:val="Body2"/>
    <w:pPr>
      <w:tabs>
        <w:tab w:val="num" w:pos="709"/>
      </w:tabs>
      <w:spacing w:after="240"/>
      <w:ind w:left="709" w:hanging="709"/>
    </w:pPr>
  </w:style>
  <w:style w:type="paragraph" w:customStyle="1" w:styleId="SCH-LEVEL3">
    <w:name w:val="SCH - LEVEL 3"/>
    <w:basedOn w:val="Normal"/>
    <w:next w:val="Body3"/>
    <w:pPr>
      <w:tabs>
        <w:tab w:val="num" w:pos="1417"/>
      </w:tabs>
      <w:spacing w:after="240"/>
      <w:ind w:left="1417" w:hanging="708"/>
    </w:pPr>
  </w:style>
  <w:style w:type="paragraph" w:customStyle="1" w:styleId="SCH-LEVEL4">
    <w:name w:val="SCH - LEVEL 4"/>
    <w:basedOn w:val="Normal"/>
    <w:next w:val="Body4"/>
    <w:pPr>
      <w:numPr>
        <w:ilvl w:val="3"/>
        <w:numId w:val="17"/>
      </w:numPr>
      <w:spacing w:after="240"/>
    </w:pPr>
  </w:style>
  <w:style w:type="paragraph" w:customStyle="1" w:styleId="SCH-LEVEL5">
    <w:name w:val="SCH - LEVEL 5"/>
    <w:basedOn w:val="Normal"/>
    <w:next w:val="Body5"/>
    <w:pPr>
      <w:numPr>
        <w:ilvl w:val="4"/>
        <w:numId w:val="17"/>
      </w:numPr>
      <w:spacing w:after="240"/>
    </w:pPr>
  </w:style>
  <w:style w:type="paragraph" w:customStyle="1" w:styleId="SCH-MAINHEAD">
    <w:name w:val="SCH - MAIN HEAD"/>
    <w:basedOn w:val="Normal"/>
    <w:next w:val="BodyText"/>
    <w:pPr>
      <w:keepNext/>
      <w:spacing w:after="240"/>
      <w:jc w:val="left"/>
    </w:pPr>
    <w:rPr>
      <w:b/>
      <w:color w:val="999999"/>
      <w:sz w:val="32"/>
    </w:rPr>
  </w:style>
  <w:style w:type="paragraph" w:customStyle="1" w:styleId="SCH-SUBHEAD">
    <w:name w:val="SCH - SUB HEAD"/>
    <w:basedOn w:val="Normal"/>
    <w:next w:val="BodyText"/>
    <w:pPr>
      <w:keepNext/>
      <w:spacing w:after="240"/>
      <w:jc w:val="left"/>
    </w:pPr>
    <w:rPr>
      <w:b/>
    </w:rPr>
  </w:style>
  <w:style w:type="paragraph" w:customStyle="1" w:styleId="SCH2-LEVEL1">
    <w:name w:val="SCH 2 - LEVEL 1"/>
    <w:basedOn w:val="Normal"/>
    <w:next w:val="Body1"/>
    <w:pPr>
      <w:keepNext/>
      <w:tabs>
        <w:tab w:val="num" w:pos="709"/>
      </w:tabs>
      <w:spacing w:after="240"/>
      <w:ind w:left="709" w:hanging="709"/>
    </w:pPr>
    <w:rPr>
      <w:b/>
      <w:caps/>
    </w:rPr>
  </w:style>
  <w:style w:type="paragraph" w:customStyle="1" w:styleId="SCH2-LEVEL2">
    <w:name w:val="SCH 2 - LEVEL 2"/>
    <w:basedOn w:val="Normal"/>
    <w:next w:val="Body2"/>
    <w:pPr>
      <w:tabs>
        <w:tab w:val="num" w:pos="709"/>
      </w:tabs>
      <w:spacing w:after="240"/>
      <w:ind w:left="709" w:hanging="709"/>
    </w:pPr>
  </w:style>
  <w:style w:type="paragraph" w:customStyle="1" w:styleId="SCH2-LEVEL3">
    <w:name w:val="SCH 2 - LEVEL 3"/>
    <w:basedOn w:val="Normal"/>
    <w:next w:val="Body3"/>
    <w:pPr>
      <w:numPr>
        <w:ilvl w:val="2"/>
        <w:numId w:val="18"/>
      </w:numPr>
      <w:spacing w:after="240"/>
    </w:pPr>
  </w:style>
  <w:style w:type="paragraph" w:customStyle="1" w:styleId="SCH2-LEVEL4">
    <w:name w:val="SCH 2 - LEVEL 4"/>
    <w:basedOn w:val="Normal"/>
    <w:next w:val="Body4"/>
    <w:pPr>
      <w:numPr>
        <w:ilvl w:val="3"/>
        <w:numId w:val="18"/>
      </w:numPr>
      <w:spacing w:after="240"/>
    </w:pPr>
  </w:style>
  <w:style w:type="paragraph" w:customStyle="1" w:styleId="SCH2-SUBHEAD">
    <w:name w:val="SCH 2 - SUB HEAD"/>
    <w:basedOn w:val="Normal"/>
    <w:next w:val="BodyText"/>
    <w:pPr>
      <w:keepNext/>
      <w:spacing w:after="240"/>
      <w:jc w:val="left"/>
    </w:pPr>
    <w:rPr>
      <w:b/>
    </w:rPr>
  </w:style>
  <w:style w:type="paragraph" w:customStyle="1" w:styleId="SCH3-LEVEL6">
    <w:name w:val="SCH 3 - LEVEL 6"/>
    <w:basedOn w:val="SCH3-LEVEL5"/>
    <w:next w:val="Body6"/>
    <w:pPr>
      <w:numPr>
        <w:ilvl w:val="0"/>
        <w:numId w:val="0"/>
      </w:numPr>
      <w:tabs>
        <w:tab w:val="num" w:pos="3543"/>
      </w:tabs>
      <w:ind w:left="3543" w:hanging="708"/>
    </w:pPr>
  </w:style>
  <w:style w:type="paragraph" w:customStyle="1" w:styleId="SCH3-LEVEL5">
    <w:name w:val="SCH 3 - LEVEL 5"/>
    <w:basedOn w:val="Normal"/>
    <w:next w:val="Body5"/>
    <w:pPr>
      <w:numPr>
        <w:ilvl w:val="4"/>
        <w:numId w:val="19"/>
      </w:numPr>
      <w:spacing w:after="240"/>
    </w:pPr>
  </w:style>
  <w:style w:type="paragraph" w:customStyle="1" w:styleId="SCH3-LEVEL1">
    <w:name w:val="SCH 3 - LEVEL 1"/>
    <w:basedOn w:val="Normal"/>
    <w:next w:val="Body1"/>
    <w:pPr>
      <w:keepNext/>
      <w:tabs>
        <w:tab w:val="num" w:pos="709"/>
      </w:tabs>
      <w:spacing w:after="240"/>
      <w:ind w:left="709" w:hanging="709"/>
    </w:pPr>
    <w:rPr>
      <w:b/>
      <w:caps/>
    </w:rPr>
  </w:style>
  <w:style w:type="paragraph" w:customStyle="1" w:styleId="SCH3-LEVEL2">
    <w:name w:val="SCH 3 - LEVEL 2"/>
    <w:basedOn w:val="Normal"/>
    <w:next w:val="Body2"/>
    <w:pPr>
      <w:tabs>
        <w:tab w:val="num" w:pos="709"/>
      </w:tabs>
      <w:spacing w:after="240"/>
      <w:ind w:left="709" w:hanging="709"/>
    </w:pPr>
  </w:style>
  <w:style w:type="paragraph" w:customStyle="1" w:styleId="SCH3-LEVEL3">
    <w:name w:val="SCH 3 - LEVEL 3"/>
    <w:basedOn w:val="Normal"/>
    <w:next w:val="Body3"/>
    <w:pPr>
      <w:numPr>
        <w:ilvl w:val="2"/>
        <w:numId w:val="19"/>
      </w:numPr>
      <w:spacing w:after="240"/>
    </w:pPr>
  </w:style>
  <w:style w:type="paragraph" w:customStyle="1" w:styleId="SCH3-LEVEL4">
    <w:name w:val="SCH 3 - LEVEL 4"/>
    <w:basedOn w:val="Normal"/>
    <w:next w:val="Body4"/>
    <w:pPr>
      <w:numPr>
        <w:ilvl w:val="3"/>
        <w:numId w:val="19"/>
      </w:numPr>
      <w:spacing w:after="240"/>
    </w:pPr>
  </w:style>
  <w:style w:type="paragraph" w:customStyle="1" w:styleId="SCH3-MAINHEAD">
    <w:name w:val="SCH 3 - MAIN HEAD"/>
    <w:basedOn w:val="Normal"/>
    <w:next w:val="BodyText"/>
    <w:uiPriority w:val="99"/>
    <w:pPr>
      <w:keepNext/>
      <w:spacing w:after="240"/>
      <w:jc w:val="left"/>
    </w:pPr>
    <w:rPr>
      <w:b/>
      <w:caps/>
    </w:rPr>
  </w:style>
  <w:style w:type="paragraph" w:customStyle="1" w:styleId="SCH-LEVEL6">
    <w:name w:val="SCH - LEVEL 6"/>
    <w:basedOn w:val="SCH-LEVEL5"/>
    <w:next w:val="Body6"/>
    <w:pPr>
      <w:numPr>
        <w:ilvl w:val="5"/>
      </w:numPr>
    </w:pPr>
  </w:style>
  <w:style w:type="paragraph" w:customStyle="1" w:styleId="SCHEDULEHEADING-LEVEL1">
    <w:name w:val="SCHEDULE HEADING - LEVEL 1"/>
    <w:basedOn w:val="Normal"/>
    <w:next w:val="BodyText"/>
    <w:pPr>
      <w:keepNext/>
      <w:spacing w:after="240"/>
      <w:jc w:val="left"/>
    </w:pPr>
    <w:rPr>
      <w:b/>
      <w:caps/>
    </w:rPr>
  </w:style>
  <w:style w:type="paragraph" w:customStyle="1" w:styleId="ScheduleHeading-Level2">
    <w:name w:val="Schedule Heading - Level 2"/>
    <w:basedOn w:val="Normal"/>
    <w:next w:val="BodyText"/>
    <w:pPr>
      <w:keepNext/>
      <w:spacing w:after="240"/>
      <w:jc w:val="left"/>
    </w:pPr>
    <w:rPr>
      <w:b/>
    </w:rPr>
  </w:style>
  <w:style w:type="paragraph" w:styleId="Title">
    <w:name w:val="Title"/>
    <w:basedOn w:val="Normal"/>
    <w:qFormat/>
    <w:pPr>
      <w:jc w:val="left"/>
    </w:pPr>
    <w:rPr>
      <w:b/>
      <w:u w:val="single"/>
    </w:rPr>
  </w:style>
  <w:style w:type="paragraph" w:styleId="TOC1">
    <w:name w:val="toc 1"/>
    <w:basedOn w:val="Normal"/>
    <w:next w:val="Normal"/>
    <w:autoRedefine/>
    <w:uiPriority w:val="39"/>
    <w:rsid w:val="00E3158A"/>
    <w:pPr>
      <w:tabs>
        <w:tab w:val="right" w:leader="dot" w:pos="9072"/>
      </w:tabs>
      <w:spacing w:before="120"/>
      <w:ind w:left="709" w:right="709" w:hanging="709"/>
      <w:jc w:val="left"/>
    </w:pPr>
    <w:rPr>
      <w:color w:val="000000"/>
    </w:rPr>
  </w:style>
  <w:style w:type="paragraph" w:styleId="TOC2">
    <w:name w:val="toc 2"/>
    <w:basedOn w:val="Normal"/>
    <w:next w:val="Normal"/>
    <w:autoRedefine/>
    <w:semiHidden/>
    <w:pPr>
      <w:tabs>
        <w:tab w:val="left" w:leader="dot" w:pos="1417"/>
        <w:tab w:val="right" w:leader="dot" w:pos="8929"/>
      </w:tabs>
      <w:ind w:left="1417" w:right="709" w:hanging="709"/>
      <w:jc w:val="left"/>
    </w:pPr>
  </w:style>
  <w:style w:type="paragraph" w:styleId="TOC3">
    <w:name w:val="toc 3"/>
    <w:basedOn w:val="Normal"/>
    <w:next w:val="Normal"/>
    <w:autoRedefine/>
    <w:semiHidden/>
    <w:pPr>
      <w:tabs>
        <w:tab w:val="right" w:leader="dot" w:pos="8929"/>
      </w:tabs>
      <w:ind w:left="2126" w:right="709" w:hanging="709"/>
      <w:jc w:val="left"/>
    </w:pPr>
  </w:style>
  <w:style w:type="paragraph" w:styleId="TOC4">
    <w:name w:val="toc 4"/>
    <w:basedOn w:val="Normal"/>
    <w:next w:val="Normal"/>
    <w:autoRedefine/>
    <w:semiHidden/>
    <w:pPr>
      <w:ind w:left="660"/>
      <w:jc w:val="left"/>
    </w:pPr>
    <w:rPr>
      <w:sz w:val="18"/>
    </w:rPr>
  </w:style>
  <w:style w:type="paragraph" w:styleId="TOC5">
    <w:name w:val="toc 5"/>
    <w:basedOn w:val="Normal"/>
    <w:next w:val="Normal"/>
    <w:autoRedefine/>
    <w:semiHidden/>
    <w:pPr>
      <w:ind w:left="880"/>
      <w:jc w:val="left"/>
    </w:pPr>
    <w:rPr>
      <w:sz w:val="18"/>
    </w:rPr>
  </w:style>
  <w:style w:type="paragraph" w:styleId="TOC6">
    <w:name w:val="toc 6"/>
    <w:basedOn w:val="Normal"/>
    <w:next w:val="Normal"/>
    <w:autoRedefine/>
    <w:semiHidden/>
    <w:pPr>
      <w:ind w:left="1100"/>
      <w:jc w:val="left"/>
    </w:pPr>
    <w:rPr>
      <w:sz w:val="18"/>
    </w:rPr>
  </w:style>
  <w:style w:type="paragraph" w:styleId="TOC7">
    <w:name w:val="toc 7"/>
    <w:basedOn w:val="Normal"/>
    <w:next w:val="Normal"/>
    <w:autoRedefine/>
    <w:semiHidden/>
    <w:pPr>
      <w:ind w:left="1320"/>
      <w:jc w:val="left"/>
    </w:pPr>
    <w:rPr>
      <w:sz w:val="18"/>
    </w:rPr>
  </w:style>
  <w:style w:type="paragraph" w:styleId="TOC8">
    <w:name w:val="toc 8"/>
    <w:basedOn w:val="Normal"/>
    <w:next w:val="Normal"/>
    <w:autoRedefine/>
    <w:semiHidden/>
    <w:pPr>
      <w:ind w:left="1540"/>
      <w:jc w:val="left"/>
    </w:pPr>
    <w:rPr>
      <w:sz w:val="18"/>
    </w:rPr>
  </w:style>
  <w:style w:type="paragraph" w:styleId="TOC9">
    <w:name w:val="toc 9"/>
    <w:basedOn w:val="Normal"/>
    <w:next w:val="Normal"/>
    <w:autoRedefine/>
    <w:semiHidden/>
    <w:pPr>
      <w:ind w:left="1760"/>
      <w:jc w:val="left"/>
    </w:pPr>
    <w:rPr>
      <w:sz w:val="18"/>
    </w:rPr>
  </w:style>
  <w:style w:type="character" w:styleId="Hyperlink">
    <w:name w:val="Hyperlink"/>
    <w:uiPriority w:val="99"/>
    <w:rPr>
      <w:rFonts w:ascii="Arial" w:hAnsi="Arial"/>
      <w:strike w:val="0"/>
      <w:dstrike w:val="0"/>
      <w:color w:val="0000FF"/>
      <w:sz w:val="20"/>
      <w:u w:val="single"/>
      <w:effect w:val="none"/>
    </w:rPr>
  </w:style>
  <w:style w:type="paragraph" w:customStyle="1" w:styleId="Heading1SectionHeadingincTOC">
    <w:name w:val="Heading 1 Section Heading (inc TOC)"/>
    <w:basedOn w:val="Normal"/>
    <w:pPr>
      <w:keepNext/>
      <w:pageBreakBefore/>
      <w:tabs>
        <w:tab w:val="left" w:pos="400"/>
        <w:tab w:val="left" w:pos="600"/>
        <w:tab w:val="left" w:pos="800"/>
        <w:tab w:val="left" w:pos="2400"/>
        <w:tab w:val="left" w:pos="2560"/>
      </w:tabs>
      <w:outlineLvl w:val="0"/>
    </w:pPr>
    <w:rPr>
      <w:rFonts w:cs="Arial"/>
      <w:bCs/>
      <w:sz w:val="32"/>
      <w:lang w:val="en-US"/>
    </w:rPr>
  </w:style>
  <w:style w:type="paragraph" w:customStyle="1" w:styleId="Bullet">
    <w:name w:val="Bullet"/>
    <w:basedOn w:val="Normal"/>
  </w:style>
  <w:style w:type="paragraph" w:customStyle="1" w:styleId="Bullet1">
    <w:name w:val="Bullet 1"/>
    <w:basedOn w:val="Normal"/>
    <w:link w:val="Bullet1Char"/>
    <w:uiPriority w:val="99"/>
    <w:pPr>
      <w:tabs>
        <w:tab w:val="num" w:pos="709"/>
      </w:tabs>
      <w:spacing w:after="240"/>
      <w:ind w:left="709" w:hanging="709"/>
    </w:pPr>
  </w:style>
  <w:style w:type="character" w:customStyle="1" w:styleId="DeltaViewInsertion">
    <w:name w:val="DeltaView Insertion"/>
    <w:rPr>
      <w:rFonts w:ascii="Arial" w:hAnsi="Arial"/>
      <w:b/>
      <w:bCs/>
      <w:spacing w:val="0"/>
      <w:u w:val="double"/>
    </w:rPr>
  </w:style>
  <w:style w:type="paragraph" w:customStyle="1" w:styleId="Bullet2">
    <w:name w:val="Bullet 2"/>
    <w:basedOn w:val="Bullet1"/>
    <w:link w:val="Bullet2Char"/>
    <w:uiPriority w:val="99"/>
    <w:qFormat/>
    <w:pPr>
      <w:numPr>
        <w:ilvl w:val="1"/>
      </w:numPr>
      <w:tabs>
        <w:tab w:val="num" w:pos="709"/>
      </w:tabs>
      <w:ind w:left="709" w:hanging="709"/>
    </w:pPr>
  </w:style>
  <w:style w:type="paragraph" w:customStyle="1" w:styleId="Bullet3">
    <w:name w:val="Bullet 3"/>
    <w:basedOn w:val="Bullet2"/>
    <w:uiPriority w:val="99"/>
    <w:pPr>
      <w:numPr>
        <w:ilvl w:val="2"/>
      </w:numPr>
      <w:tabs>
        <w:tab w:val="num" w:pos="709"/>
      </w:tabs>
      <w:ind w:left="709" w:hanging="709"/>
    </w:pPr>
  </w:style>
  <w:style w:type="paragraph" w:customStyle="1" w:styleId="Bullet4">
    <w:name w:val="Bullet 4"/>
    <w:basedOn w:val="Bullet3"/>
    <w:uiPriority w:val="99"/>
    <w:pPr>
      <w:numPr>
        <w:ilvl w:val="3"/>
      </w:numPr>
      <w:tabs>
        <w:tab w:val="num" w:pos="709"/>
      </w:tabs>
      <w:ind w:left="709" w:hanging="709"/>
    </w:pPr>
  </w:style>
  <w:style w:type="paragraph" w:customStyle="1" w:styleId="Bullet5">
    <w:name w:val="Bullet 5"/>
    <w:basedOn w:val="Bullet4"/>
    <w:uiPriority w:val="99"/>
    <w:pPr>
      <w:numPr>
        <w:ilvl w:val="4"/>
      </w:numPr>
      <w:tabs>
        <w:tab w:val="num" w:pos="709"/>
      </w:tabs>
      <w:ind w:left="709" w:hanging="709"/>
    </w:pPr>
  </w:style>
  <w:style w:type="paragraph" w:customStyle="1" w:styleId="Bullet6">
    <w:name w:val="Bullet 6"/>
    <w:basedOn w:val="Bullet5"/>
    <w:uiPriority w:val="99"/>
    <w:pPr>
      <w:numPr>
        <w:ilvl w:val="5"/>
      </w:numPr>
      <w:tabs>
        <w:tab w:val="num" w:pos="709"/>
      </w:tabs>
      <w:ind w:left="709" w:hanging="709"/>
    </w:pPr>
  </w:style>
  <w:style w:type="paragraph" w:customStyle="1" w:styleId="Bullet7">
    <w:name w:val="Bullet 7"/>
    <w:basedOn w:val="Bullet6"/>
    <w:uiPriority w:val="99"/>
    <w:pPr>
      <w:ind w:left="4961"/>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rFonts w:ascii="Arial" w:hAnsi="Arial"/>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cs="Tahoma"/>
    </w:rPr>
  </w:style>
  <w:style w:type="paragraph" w:styleId="EmailSignature">
    <w:name w:val="E-mail Signature"/>
    <w:basedOn w:val="Normal"/>
  </w:style>
  <w:style w:type="character" w:styleId="Emphasis">
    <w:name w:val="Emphasis"/>
    <w:qFormat/>
    <w:rPr>
      <w:rFonts w:ascii="Arial" w:hAnsi="Arial"/>
      <w:i/>
      <w:iCs/>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rPr>
  </w:style>
  <w:style w:type="character" w:styleId="FollowedHyperlink">
    <w:name w:val="FollowedHyperlink"/>
    <w:rPr>
      <w:rFonts w:ascii="Arial" w:hAnsi="Arial"/>
      <w:color w:val="800080"/>
      <w:sz w:val="20"/>
      <w:u w:val="single"/>
    </w:rPr>
  </w:style>
  <w:style w:type="character" w:styleId="HTMLAcronym">
    <w:name w:val="HTML Acronym"/>
    <w:basedOn w:val="DefaultParagraphFont"/>
    <w:rPr>
      <w:rFonts w:ascii="Arial" w:hAnsi="Arial"/>
      <w:sz w:val="20"/>
    </w:rPr>
  </w:style>
  <w:style w:type="paragraph" w:styleId="HTMLAddress">
    <w:name w:val="HTML Address"/>
    <w:basedOn w:val="Normal"/>
    <w:rPr>
      <w:i/>
      <w:iCs/>
    </w:rPr>
  </w:style>
  <w:style w:type="character" w:styleId="HTMLCite">
    <w:name w:val="HTML Cite"/>
    <w:rPr>
      <w:rFonts w:ascii="Arial" w:hAnsi="Arial"/>
      <w:i/>
      <w:iCs/>
      <w:sz w:val="20"/>
    </w:rPr>
  </w:style>
  <w:style w:type="character" w:styleId="HTMLCode">
    <w:name w:val="HTML Code"/>
    <w:rPr>
      <w:rFonts w:ascii="Arial" w:hAnsi="Arial"/>
      <w:sz w:val="20"/>
      <w:szCs w:val="20"/>
    </w:rPr>
  </w:style>
  <w:style w:type="character" w:styleId="HTMLDefinition">
    <w:name w:val="HTML Definition"/>
    <w:rPr>
      <w:rFonts w:ascii="Arial" w:hAnsi="Arial"/>
      <w:i/>
      <w:iCs/>
      <w:sz w:val="20"/>
    </w:rPr>
  </w:style>
  <w:style w:type="character" w:styleId="HTMLKeyboard">
    <w:name w:val="HTML Keyboard"/>
    <w:rPr>
      <w:rFonts w:ascii="Arial" w:hAnsi="Arial"/>
      <w:sz w:val="20"/>
      <w:szCs w:val="20"/>
    </w:rPr>
  </w:style>
  <w:style w:type="paragraph" w:styleId="HTMLPreformatted">
    <w:name w:val="HTML Preformatted"/>
    <w:basedOn w:val="Normal"/>
    <w:rPr>
      <w:rFonts w:cs="Courier New"/>
    </w:rPr>
  </w:style>
  <w:style w:type="character" w:styleId="HTMLSample">
    <w:name w:val="HTML Sample"/>
    <w:basedOn w:val="DefaultParagraphFont"/>
    <w:rPr>
      <w:rFonts w:ascii="Arial" w:hAnsi="Arial"/>
      <w:sz w:val="20"/>
    </w:rPr>
  </w:style>
  <w:style w:type="character" w:styleId="HTMLTypewriter">
    <w:name w:val="HTML Typewriter"/>
    <w:rPr>
      <w:rFonts w:ascii="Arial" w:hAnsi="Arial"/>
      <w:sz w:val="20"/>
      <w:szCs w:val="20"/>
    </w:rPr>
  </w:style>
  <w:style w:type="character" w:styleId="HTMLVariable">
    <w:name w:val="HTML Variable"/>
    <w:rPr>
      <w:rFonts w:ascii="Arial" w:hAnsi="Arial"/>
      <w:i/>
      <w:iCs/>
      <w:sz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character" w:styleId="LineNumber">
    <w:name w:val="line number"/>
    <w:basedOn w:val="DefaultParagraphFont"/>
    <w:rPr>
      <w:rFonts w:ascii="Arial" w:hAnsi="Arial"/>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aliases w:val="lb4"/>
    <w:basedOn w:val="Normal"/>
    <w:autoRedefine/>
    <w:pPr>
      <w:numPr>
        <w:numId w:val="4"/>
      </w:numPr>
    </w:pPr>
  </w:style>
  <w:style w:type="paragraph" w:styleId="ListBullet5">
    <w:name w:val="List Bullet 5"/>
    <w:aliases w:val="lb5"/>
    <w:basedOn w:val="Normal"/>
    <w:autoRedefine/>
    <w:uiPriority w:val="99"/>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Courier New"/>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09"/>
    </w:pPr>
  </w:style>
  <w:style w:type="paragraph" w:styleId="NoteHeading">
    <w:name w:val="Note Heading"/>
    <w:basedOn w:val="Normal"/>
    <w:next w:val="Normal"/>
  </w:style>
  <w:style w:type="paragraph" w:styleId="PlainText">
    <w:name w:val="Plain Text"/>
    <w:basedOn w:val="Normal"/>
    <w:link w:val="PlainTextChar"/>
    <w:uiPriority w:val="99"/>
    <w:rPr>
      <w:rFonts w:cs="Courier New"/>
    </w:rPr>
  </w:style>
  <w:style w:type="paragraph" w:styleId="Salutation">
    <w:name w:val="Salutation"/>
    <w:basedOn w:val="Normal"/>
    <w:next w:val="Normal"/>
    <w:pPr>
      <w:spacing w:after="240"/>
    </w:pPr>
  </w:style>
  <w:style w:type="paragraph" w:styleId="Signature">
    <w:name w:val="Signature"/>
    <w:basedOn w:val="Normal"/>
    <w:pPr>
      <w:ind w:left="4252"/>
    </w:pPr>
  </w:style>
  <w:style w:type="character" w:styleId="Strong">
    <w:name w:val="Strong"/>
    <w:uiPriority w:val="22"/>
    <w:qFormat/>
    <w:rPr>
      <w:rFonts w:ascii="Arial" w:hAnsi="Arial"/>
      <w:b/>
      <w:bCs/>
      <w:sz w:val="20"/>
    </w:rPr>
  </w:style>
  <w:style w:type="paragraph" w:styleId="Subtitle">
    <w:name w:val="Subtitle"/>
    <w:basedOn w:val="Normal"/>
    <w:qFormat/>
    <w:pPr>
      <w:spacing w:after="60"/>
      <w:jc w:val="center"/>
      <w:outlineLvl w:val="1"/>
    </w:pPr>
    <w:rPr>
      <w:rFonts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szCs w:val="24"/>
    </w:rPr>
  </w:style>
  <w:style w:type="paragraph" w:customStyle="1" w:styleId="Body7">
    <w:name w:val="Body 7"/>
    <w:basedOn w:val="Body6"/>
    <w:pPr>
      <w:ind w:left="4252"/>
    </w:pPr>
  </w:style>
  <w:style w:type="paragraph" w:customStyle="1" w:styleId="Level6">
    <w:name w:val="Level 6"/>
    <w:basedOn w:val="Level5"/>
    <w:next w:val="Body7"/>
    <w:pPr>
      <w:numPr>
        <w:ilvl w:val="5"/>
      </w:numPr>
    </w:pPr>
  </w:style>
  <w:style w:type="paragraph" w:customStyle="1" w:styleId="MA-ArtsLevel6">
    <w:name w:val="M&amp;A - Arts Level 6"/>
    <w:basedOn w:val="MA-ArtsLevel5"/>
    <w:next w:val="Body6"/>
    <w:pPr>
      <w:numPr>
        <w:ilvl w:val="5"/>
      </w:numPr>
    </w:pPr>
  </w:style>
  <w:style w:type="paragraph" w:customStyle="1" w:styleId="MA-MemoLevel6">
    <w:name w:val="M&amp;A - Memo Level 6"/>
    <w:basedOn w:val="MA-MemoLevel5"/>
    <w:next w:val="Body7"/>
    <w:pPr>
      <w:numPr>
        <w:ilvl w:val="5"/>
      </w:numPr>
    </w:pPr>
  </w:style>
  <w:style w:type="paragraph" w:customStyle="1" w:styleId="NA-LEVEL6">
    <w:name w:val="NA - LEVEL 6"/>
    <w:basedOn w:val="NA-LEVEL1"/>
    <w:next w:val="Body7"/>
    <w:pPr>
      <w:numPr>
        <w:ilvl w:val="5"/>
      </w:numPr>
    </w:pPr>
  </w:style>
  <w:style w:type="paragraph" w:customStyle="1" w:styleId="PROSPECTUSSUMMARY-LEVEL1">
    <w:name w:val="PROSPECTUS SUMMARY - LEVEL 1"/>
    <w:basedOn w:val="BodyText"/>
    <w:next w:val="BodyText"/>
    <w:qFormat/>
    <w:pPr>
      <w:keepNext/>
      <w:pBdr>
        <w:top w:val="single" w:sz="4" w:space="6" w:color="auto"/>
        <w:bottom w:val="single" w:sz="4" w:space="6" w:color="auto"/>
      </w:pBdr>
      <w:jc w:val="left"/>
    </w:pPr>
    <w:rPr>
      <w:b/>
      <w:caps/>
    </w:rPr>
  </w:style>
  <w:style w:type="paragraph" w:customStyle="1" w:styleId="SCH2-MAINHEAD">
    <w:name w:val="SCH 2 - MAIN HEAD"/>
    <w:basedOn w:val="Normal"/>
    <w:next w:val="BodyText"/>
    <w:pPr>
      <w:keepNext/>
      <w:spacing w:after="240"/>
      <w:jc w:val="left"/>
    </w:pPr>
    <w:rPr>
      <w:b/>
      <w:caps/>
    </w:rPr>
  </w:style>
  <w:style w:type="paragraph" w:customStyle="1" w:styleId="SCH3-SUBHEAD">
    <w:name w:val="SCH 3 - SUB HEAD"/>
    <w:basedOn w:val="Normal"/>
    <w:next w:val="BodyText"/>
    <w:uiPriority w:val="99"/>
    <w:pPr>
      <w:keepNext/>
      <w:spacing w:after="240"/>
      <w:jc w:val="left"/>
    </w:pPr>
    <w:rPr>
      <w:b/>
    </w:rPr>
  </w:style>
  <w:style w:type="paragraph" w:customStyle="1" w:styleId="DeltaViewTableBody">
    <w:name w:val="DeltaView Table Body"/>
    <w:basedOn w:val="Normal"/>
    <w:pPr>
      <w:autoSpaceDE w:val="0"/>
      <w:autoSpaceDN w:val="0"/>
      <w:adjustRightInd w:val="0"/>
      <w:jc w:val="left"/>
    </w:pPr>
    <w:rPr>
      <w:rFonts w:cs="Arial"/>
      <w:sz w:val="24"/>
      <w:szCs w:val="24"/>
      <w:lang w:val="en-US"/>
    </w:rPr>
  </w:style>
  <w:style w:type="paragraph" w:customStyle="1" w:styleId="FrontPageDate">
    <w:name w:val="Front Page Date"/>
    <w:basedOn w:val="Normal"/>
    <w:pPr>
      <w:autoSpaceDE w:val="0"/>
      <w:autoSpaceDN w:val="0"/>
      <w:adjustRightInd w:val="0"/>
      <w:spacing w:before="40" w:after="40"/>
      <w:ind w:right="72"/>
      <w:jc w:val="left"/>
    </w:pPr>
    <w:rPr>
      <w:rFonts w:ascii="Arial Narrow" w:hAnsi="Arial Narrow" w:cs="Arial"/>
      <w:color w:val="808080"/>
      <w:sz w:val="36"/>
      <w:szCs w:val="36"/>
      <w:lang w:val="en-GB"/>
    </w:rPr>
  </w:style>
  <w:style w:type="paragraph" w:customStyle="1" w:styleId="FrontPageDescription">
    <w:name w:val="Front Page Description"/>
    <w:basedOn w:val="Normal"/>
    <w:pPr>
      <w:autoSpaceDE w:val="0"/>
      <w:autoSpaceDN w:val="0"/>
      <w:adjustRightInd w:val="0"/>
      <w:spacing w:before="120" w:after="120"/>
      <w:ind w:right="72"/>
    </w:pPr>
    <w:rPr>
      <w:rFonts w:ascii="Arial Narrow" w:hAnsi="Arial Narrow" w:cs="Arial"/>
      <w:color w:val="808080"/>
      <w:lang w:val="en-GB"/>
    </w:rPr>
  </w:style>
  <w:style w:type="paragraph" w:customStyle="1" w:styleId="FrontPageDisclaimer">
    <w:name w:val="Front Page Disclaimer"/>
    <w:basedOn w:val="Normal"/>
    <w:pPr>
      <w:shd w:val="clear" w:color="auto" w:fill="CCCCCC"/>
      <w:autoSpaceDE w:val="0"/>
      <w:autoSpaceDN w:val="0"/>
      <w:adjustRightInd w:val="0"/>
      <w:spacing w:before="120" w:after="120"/>
      <w:ind w:right="72"/>
      <w:jc w:val="left"/>
    </w:pPr>
    <w:rPr>
      <w:rFonts w:ascii="Arial Narrow" w:hAnsi="Arial Narrow" w:cs="Arial"/>
      <w:lang w:val="en-GB"/>
    </w:rPr>
  </w:style>
  <w:style w:type="paragraph" w:customStyle="1" w:styleId="FrontPageTitle">
    <w:name w:val="Front Page Title"/>
    <w:basedOn w:val="Normal"/>
    <w:next w:val="FrontPageDescription"/>
    <w:pPr>
      <w:autoSpaceDE w:val="0"/>
      <w:autoSpaceDN w:val="0"/>
      <w:adjustRightInd w:val="0"/>
      <w:spacing w:before="120" w:after="120"/>
    </w:pPr>
    <w:rPr>
      <w:rFonts w:ascii="Arial Narrow" w:hAnsi="Arial Narrow" w:cs="Arial"/>
      <w:noProof/>
      <w:color w:val="808080"/>
      <w:sz w:val="48"/>
      <w:szCs w:val="48"/>
      <w:lang w:val="en-US"/>
    </w:rPr>
  </w:style>
  <w:style w:type="paragraph" w:customStyle="1" w:styleId="FrontPageIM">
    <w:name w:val="Front Page IM"/>
    <w:basedOn w:val="Normal"/>
    <w:pPr>
      <w:autoSpaceDE w:val="0"/>
      <w:autoSpaceDN w:val="0"/>
      <w:adjustRightInd w:val="0"/>
      <w:spacing w:before="40" w:after="40"/>
      <w:ind w:right="72"/>
      <w:jc w:val="left"/>
    </w:pPr>
    <w:rPr>
      <w:rFonts w:ascii="Arial Narrow" w:hAnsi="Arial Narrow" w:cs="Arial"/>
      <w:color w:val="808080"/>
      <w:sz w:val="36"/>
      <w:szCs w:val="36"/>
      <w:lang w:val="en-GB"/>
    </w:rPr>
  </w:style>
  <w:style w:type="paragraph" w:customStyle="1" w:styleId="BodyText1">
    <w:name w:val="Body Text 1"/>
    <w:basedOn w:val="Normal"/>
    <w:pPr>
      <w:autoSpaceDE w:val="0"/>
      <w:autoSpaceDN w:val="0"/>
      <w:adjustRightInd w:val="0"/>
      <w:spacing w:after="240"/>
    </w:pPr>
    <w:rPr>
      <w:rFonts w:ascii="Helvetica" w:hAnsi="Helvetica" w:cs="Arial"/>
      <w:sz w:val="22"/>
      <w:szCs w:val="22"/>
      <w:lang w:val="en-US"/>
    </w:rPr>
  </w:style>
  <w:style w:type="paragraph" w:customStyle="1" w:styleId="Bodytext0">
    <w:name w:val="Bodytext"/>
    <w:basedOn w:val="Normal"/>
    <w:pPr>
      <w:overflowPunct w:val="0"/>
      <w:autoSpaceDE w:val="0"/>
      <w:autoSpaceDN w:val="0"/>
      <w:adjustRightInd w:val="0"/>
      <w:spacing w:after="240"/>
      <w:textAlignment w:val="baseline"/>
    </w:pPr>
    <w:rPr>
      <w:kern w:val="2"/>
      <w:sz w:val="22"/>
      <w:lang w:val="en-US"/>
    </w:rPr>
  </w:style>
  <w:style w:type="paragraph" w:customStyle="1" w:styleId="12HangingIndent">
    <w:name w:val="1/2&quot;Hanging Indent"/>
    <w:basedOn w:val="Normal"/>
    <w:pPr>
      <w:spacing w:after="240" w:line="480" w:lineRule="atLeast"/>
      <w:ind w:left="720" w:hanging="720"/>
      <w:jc w:val="left"/>
    </w:pPr>
    <w:rPr>
      <w:rFonts w:ascii="Times New Roman" w:hAnsi="Times New Roman"/>
      <w:sz w:val="26"/>
      <w:szCs w:val="24"/>
      <w:lang w:val="en-US"/>
    </w:rPr>
  </w:style>
  <w:style w:type="paragraph" w:customStyle="1" w:styleId="BlockText2">
    <w:name w:val="Block Text 2"/>
    <w:basedOn w:val="Normal"/>
    <w:pPr>
      <w:autoSpaceDE w:val="0"/>
      <w:autoSpaceDN w:val="0"/>
      <w:adjustRightInd w:val="0"/>
      <w:spacing w:after="240"/>
      <w:ind w:left="1440" w:right="1440"/>
      <w:jc w:val="left"/>
    </w:pPr>
    <w:rPr>
      <w:rFonts w:ascii="Times New Roman" w:hAnsi="Times New Roman"/>
      <w:sz w:val="24"/>
      <w:szCs w:val="24"/>
      <w:lang w:val="en-US"/>
    </w:rPr>
  </w:style>
  <w:style w:type="character" w:customStyle="1" w:styleId="DeltaViewDeletion">
    <w:name w:val="DeltaView Deletion"/>
    <w:rPr>
      <w:strike/>
      <w:color w:val="FF0000"/>
      <w:spacing w:val="0"/>
    </w:rPr>
  </w:style>
  <w:style w:type="paragraph" w:customStyle="1" w:styleId="BodyText21">
    <w:name w:val="Body Text 21"/>
    <w:basedOn w:val="Normal"/>
    <w:rsid w:val="00D667E2"/>
    <w:pPr>
      <w:widowControl w:val="0"/>
      <w:overflowPunct w:val="0"/>
      <w:autoSpaceDE w:val="0"/>
      <w:autoSpaceDN w:val="0"/>
      <w:adjustRightInd w:val="0"/>
      <w:ind w:left="720" w:hanging="720"/>
      <w:textAlignment w:val="baseline"/>
    </w:pPr>
    <w:rPr>
      <w:rFonts w:ascii="Times New Roman" w:hAnsi="Times New Roman"/>
      <w:sz w:val="22"/>
      <w:lang w:val="en-US"/>
    </w:rPr>
  </w:style>
  <w:style w:type="character" w:customStyle="1" w:styleId="Body3Char">
    <w:name w:val="Body 3 Char"/>
    <w:link w:val="Body3"/>
    <w:rsid w:val="00170A36"/>
    <w:rPr>
      <w:rFonts w:ascii="Arial" w:hAnsi="Arial"/>
      <w:sz w:val="20"/>
      <w:lang w:val="en-IE" w:eastAsia="en-US" w:bidi="ar-SA"/>
    </w:rPr>
  </w:style>
  <w:style w:type="character" w:customStyle="1" w:styleId="deltaviewinsertion0">
    <w:name w:val="deltaviewinsertion"/>
    <w:basedOn w:val="DefaultParagraphFont"/>
    <w:rsid w:val="00664F59"/>
    <w:rPr>
      <w:rFonts w:ascii="Arial" w:hAnsi="Arial"/>
      <w:sz w:val="20"/>
    </w:rPr>
  </w:style>
  <w:style w:type="character" w:customStyle="1" w:styleId="v">
    <w:name w:val="v"/>
    <w:rsid w:val="00154FDE"/>
  </w:style>
  <w:style w:type="character" w:customStyle="1" w:styleId="ad">
    <w:name w:val="ad"/>
    <w:rsid w:val="00154FDE"/>
  </w:style>
  <w:style w:type="paragraph" w:customStyle="1" w:styleId="au">
    <w:name w:val="au"/>
    <w:basedOn w:val="Normal"/>
    <w:rsid w:val="00154FDE"/>
    <w:pPr>
      <w:spacing w:before="100" w:beforeAutospacing="1" w:after="100" w:afterAutospacing="1"/>
      <w:jc w:val="left"/>
    </w:pPr>
    <w:rPr>
      <w:rFonts w:ascii="Times New Roman" w:hAnsi="Times New Roman"/>
      <w:sz w:val="24"/>
      <w:szCs w:val="24"/>
      <w:lang w:val="en-GB" w:eastAsia="en-GB"/>
    </w:rPr>
  </w:style>
  <w:style w:type="character" w:customStyle="1" w:styleId="ab">
    <w:name w:val="ab"/>
    <w:rsid w:val="00154FDE"/>
  </w:style>
  <w:style w:type="character" w:customStyle="1" w:styleId="aa">
    <w:name w:val="aa"/>
    <w:rsid w:val="00154FDE"/>
  </w:style>
  <w:style w:type="table" w:styleId="TableGrid">
    <w:name w:val="Table Grid"/>
    <w:basedOn w:val="TableNormal"/>
    <w:uiPriority w:val="99"/>
    <w:rsid w:val="00981E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ext1">
    <w:name w:val="Btext1"/>
    <w:basedOn w:val="Normal"/>
    <w:rsid w:val="004E63BB"/>
    <w:pPr>
      <w:spacing w:after="240"/>
      <w:ind w:firstLine="720"/>
    </w:pPr>
    <w:rPr>
      <w:lang w:val="en-US"/>
    </w:rPr>
  </w:style>
  <w:style w:type="paragraph" w:customStyle="1" w:styleId="Leve2">
    <w:name w:val="Leve2"/>
    <w:basedOn w:val="Normal"/>
    <w:rsid w:val="004E63BB"/>
    <w:pPr>
      <w:jc w:val="left"/>
    </w:pPr>
    <w:rPr>
      <w:b/>
      <w:lang w:val="en-US"/>
    </w:rPr>
  </w:style>
  <w:style w:type="paragraph" w:styleId="ListParagraph">
    <w:name w:val="List Paragraph"/>
    <w:basedOn w:val="Normal"/>
    <w:uiPriority w:val="34"/>
    <w:qFormat/>
    <w:rsid w:val="000E4702"/>
    <w:pPr>
      <w:ind w:left="720"/>
    </w:pPr>
  </w:style>
  <w:style w:type="paragraph" w:customStyle="1" w:styleId="BodyTextFlush">
    <w:name w:val="Body Text Flush"/>
    <w:basedOn w:val="Normal"/>
    <w:link w:val="BodyTextFlushChar"/>
    <w:qFormat/>
    <w:rsid w:val="000E4702"/>
    <w:pPr>
      <w:spacing w:after="240"/>
      <w:jc w:val="left"/>
    </w:pPr>
    <w:rPr>
      <w:rFonts w:eastAsia="Calibri"/>
      <w:sz w:val="24"/>
      <w:szCs w:val="24"/>
      <w:lang w:val="en-US"/>
    </w:rPr>
  </w:style>
  <w:style w:type="character" w:customStyle="1" w:styleId="BodyTextFlushChar">
    <w:name w:val="Body Text Flush Char"/>
    <w:link w:val="BodyTextFlush"/>
    <w:rsid w:val="000E4702"/>
    <w:rPr>
      <w:rFonts w:ascii="Arial" w:eastAsia="Calibri" w:hAnsi="Arial"/>
      <w:sz w:val="24"/>
      <w:szCs w:val="24"/>
      <w:lang w:val="en-US" w:eastAsia="en-US"/>
    </w:rPr>
  </w:style>
  <w:style w:type="paragraph" w:customStyle="1" w:styleId="BodyTextJust">
    <w:name w:val="Body Text Just"/>
    <w:aliases w:val="*RS3Body Text Flush,bj,btf,btj,btj Indent"/>
    <w:basedOn w:val="Normal"/>
    <w:link w:val="BodyTextJustChar"/>
    <w:qFormat/>
    <w:rsid w:val="000E4702"/>
    <w:pPr>
      <w:spacing w:after="240"/>
      <w:ind w:firstLine="1440"/>
    </w:pPr>
    <w:rPr>
      <w:rFonts w:eastAsia="Calibri"/>
      <w:sz w:val="24"/>
      <w:szCs w:val="24"/>
      <w:lang w:val="en-US"/>
    </w:rPr>
  </w:style>
  <w:style w:type="character" w:customStyle="1" w:styleId="BodyTextJustChar">
    <w:name w:val="Body Text Just Char"/>
    <w:aliases w:val="btj Char,btj Indent Char,btj Indent Char Char"/>
    <w:link w:val="BodyTextJust"/>
    <w:rsid w:val="000E4702"/>
    <w:rPr>
      <w:rFonts w:ascii="Arial" w:eastAsia="Calibri" w:hAnsi="Arial"/>
      <w:sz w:val="24"/>
      <w:szCs w:val="24"/>
      <w:lang w:val="en-US" w:eastAsia="en-US"/>
    </w:rPr>
  </w:style>
  <w:style w:type="character" w:customStyle="1" w:styleId="FooterChar">
    <w:name w:val="Footer Char"/>
    <w:link w:val="Footer"/>
    <w:uiPriority w:val="99"/>
    <w:rsid w:val="00446DD8"/>
    <w:rPr>
      <w:rFonts w:ascii="Arial" w:hAnsi="Arial"/>
      <w:sz w:val="16"/>
      <w:lang w:val="en-IE" w:eastAsia="en-US"/>
    </w:rPr>
  </w:style>
  <w:style w:type="character" w:customStyle="1" w:styleId="HeaderChar">
    <w:name w:val="Header Char"/>
    <w:aliases w:val="Guideline Char"/>
    <w:link w:val="Header"/>
    <w:uiPriority w:val="99"/>
    <w:rsid w:val="00446DD8"/>
    <w:rPr>
      <w:rFonts w:ascii="Arial" w:hAnsi="Arial"/>
      <w:lang w:val="en-IE" w:eastAsia="en-US"/>
    </w:rPr>
  </w:style>
  <w:style w:type="character" w:customStyle="1" w:styleId="PlainTextChar">
    <w:name w:val="Plain Text Char"/>
    <w:link w:val="PlainText"/>
    <w:uiPriority w:val="99"/>
    <w:rsid w:val="00A85985"/>
    <w:rPr>
      <w:rFonts w:ascii="Arial" w:hAnsi="Arial" w:cs="Courier New"/>
      <w:lang w:val="en-IE" w:eastAsia="en-US"/>
    </w:rPr>
  </w:style>
  <w:style w:type="paragraph" w:styleId="BalloonText">
    <w:name w:val="Balloon Text"/>
    <w:basedOn w:val="Normal"/>
    <w:link w:val="BalloonTextChar"/>
    <w:rsid w:val="00AE1420"/>
    <w:rPr>
      <w:rFonts w:ascii="Tahoma" w:hAnsi="Tahoma" w:cs="Tahoma"/>
      <w:sz w:val="16"/>
      <w:szCs w:val="16"/>
    </w:rPr>
  </w:style>
  <w:style w:type="character" w:customStyle="1" w:styleId="BalloonTextChar">
    <w:name w:val="Balloon Text Char"/>
    <w:link w:val="BalloonText"/>
    <w:rsid w:val="00AE1420"/>
    <w:rPr>
      <w:rFonts w:ascii="Tahoma" w:hAnsi="Tahoma" w:cs="Tahoma"/>
      <w:sz w:val="16"/>
      <w:szCs w:val="16"/>
      <w:lang w:val="en-IE" w:eastAsia="en-US"/>
    </w:rPr>
  </w:style>
  <w:style w:type="paragraph" w:styleId="CommentSubject">
    <w:name w:val="annotation subject"/>
    <w:basedOn w:val="CommentText"/>
    <w:next w:val="CommentText"/>
    <w:link w:val="CommentSubjectChar"/>
    <w:rsid w:val="00C83E2E"/>
    <w:rPr>
      <w:b/>
      <w:bCs/>
    </w:rPr>
  </w:style>
  <w:style w:type="character" w:customStyle="1" w:styleId="CommentTextChar">
    <w:name w:val="Comment Text Char"/>
    <w:link w:val="CommentText"/>
    <w:uiPriority w:val="99"/>
    <w:rsid w:val="00C83E2E"/>
    <w:rPr>
      <w:rFonts w:ascii="Arial" w:hAnsi="Arial"/>
      <w:sz w:val="20"/>
      <w:lang w:val="en-IE" w:eastAsia="en-US"/>
    </w:rPr>
  </w:style>
  <w:style w:type="character" w:customStyle="1" w:styleId="CommentSubjectChar">
    <w:name w:val="Comment Subject Char"/>
    <w:link w:val="CommentSubject"/>
    <w:rsid w:val="00C83E2E"/>
    <w:rPr>
      <w:rFonts w:ascii="Arial" w:hAnsi="Arial"/>
      <w:b/>
      <w:bCs/>
      <w:sz w:val="20"/>
      <w:lang w:val="en-IE" w:eastAsia="en-US"/>
    </w:rPr>
  </w:style>
  <w:style w:type="paragraph" w:styleId="Revision">
    <w:name w:val="Revision"/>
    <w:hidden/>
    <w:uiPriority w:val="99"/>
    <w:semiHidden/>
    <w:rsid w:val="00C83E2E"/>
    <w:rPr>
      <w:rFonts w:ascii="Arial" w:hAnsi="Arial"/>
      <w:lang w:val="en-IE" w:eastAsia="en-US"/>
    </w:rPr>
  </w:style>
  <w:style w:type="paragraph" w:customStyle="1" w:styleId="Pa1">
    <w:name w:val="Pa1"/>
    <w:basedOn w:val="Normal"/>
    <w:next w:val="Normal"/>
    <w:uiPriority w:val="99"/>
    <w:rsid w:val="001E0245"/>
    <w:pPr>
      <w:autoSpaceDE w:val="0"/>
      <w:autoSpaceDN w:val="0"/>
      <w:adjustRightInd w:val="0"/>
      <w:spacing w:line="221" w:lineRule="atLeast"/>
      <w:jc w:val="left"/>
    </w:pPr>
    <w:rPr>
      <w:rFonts w:ascii="Times New Roman" w:hAnsi="Times New Roman"/>
      <w:sz w:val="24"/>
      <w:szCs w:val="24"/>
      <w:lang w:val="en-US"/>
    </w:rPr>
  </w:style>
  <w:style w:type="character" w:customStyle="1" w:styleId="BodyTextChar2">
    <w:name w:val="Body Text Char2"/>
    <w:aliases w:val="BODY TEXT Char,BT Char,Body Test Char,Body Text Char Char,Body Text Char Char Char Char,Body Text Char Char1 Char Char,Body Text Char1 Char,Body Text Char2 Char Char,Body text Char,Bold Heading Char,b Char1,b Char Char,body text Char"/>
    <w:link w:val="BodyText"/>
    <w:locked/>
    <w:rsid w:val="00EB279A"/>
    <w:rPr>
      <w:rFonts w:ascii="Arial" w:hAnsi="Arial"/>
      <w:szCs w:val="24"/>
      <w:lang w:val="en-IE" w:eastAsia="en-US"/>
    </w:rPr>
  </w:style>
  <w:style w:type="paragraph" w:customStyle="1" w:styleId="L1Para">
    <w:name w:val="L1Para"/>
    <w:basedOn w:val="Normal"/>
    <w:next w:val="Normal"/>
    <w:rsid w:val="00961875"/>
    <w:pPr>
      <w:widowControl w:val="0"/>
      <w:ind w:left="720"/>
      <w:jc w:val="left"/>
    </w:pPr>
  </w:style>
  <w:style w:type="character" w:customStyle="1" w:styleId="FootnoteTextChar">
    <w:name w:val="Footnote Text Char"/>
    <w:aliases w:val="Car Char,footnote text1 Char"/>
    <w:link w:val="FootnoteText"/>
    <w:uiPriority w:val="99"/>
    <w:rsid w:val="004049D0"/>
    <w:rPr>
      <w:rFonts w:ascii="Arial" w:hAnsi="Arial"/>
      <w:sz w:val="18"/>
      <w:lang w:val="en-IE" w:eastAsia="en-US"/>
    </w:rPr>
  </w:style>
  <w:style w:type="character" w:customStyle="1" w:styleId="OMBTHeaderChar">
    <w:name w:val="OM BT Header Char"/>
    <w:link w:val="OMBTHeader"/>
    <w:locked/>
    <w:rsid w:val="006578AC"/>
    <w:rPr>
      <w:b/>
      <w:sz w:val="24"/>
      <w:lang w:eastAsia="en-US"/>
    </w:rPr>
  </w:style>
  <w:style w:type="paragraph" w:customStyle="1" w:styleId="OMBTHeader">
    <w:name w:val="OM BT Header"/>
    <w:basedOn w:val="Normal"/>
    <w:link w:val="OMBTHeaderChar"/>
    <w:rsid w:val="006578AC"/>
    <w:pPr>
      <w:keepNext/>
      <w:autoSpaceDE w:val="0"/>
      <w:autoSpaceDN w:val="0"/>
      <w:adjustRightInd w:val="0"/>
      <w:spacing w:after="200"/>
      <w:jc w:val="left"/>
    </w:pPr>
    <w:rPr>
      <w:rFonts w:ascii="Times New Roman" w:hAnsi="Times New Roman"/>
      <w:b/>
      <w:sz w:val="24"/>
      <w:lang w:val="en-GB"/>
    </w:rPr>
  </w:style>
  <w:style w:type="character" w:customStyle="1" w:styleId="BodyTextJustCharChar">
    <w:name w:val="Body Text Just Char Char"/>
    <w:locked/>
    <w:rsid w:val="00350A19"/>
    <w:rPr>
      <w:rFonts w:ascii="Arial" w:hAnsi="Arial"/>
      <w:sz w:val="24"/>
      <w:szCs w:val="24"/>
      <w:lang w:val="en-US" w:eastAsia="en-US" w:bidi="ar-SA"/>
    </w:rPr>
  </w:style>
  <w:style w:type="paragraph" w:customStyle="1" w:styleId="SCH1-SUBHEAD">
    <w:name w:val="SCH 1 - SUB HEAD"/>
    <w:basedOn w:val="BodyText"/>
    <w:next w:val="BodyText"/>
    <w:uiPriority w:val="99"/>
    <w:semiHidden/>
    <w:unhideWhenUsed/>
    <w:rsid w:val="00FB206F"/>
    <w:pPr>
      <w:keepNext/>
      <w:keepLines/>
      <w:numPr>
        <w:ilvl w:val="1"/>
        <w:numId w:val="21"/>
      </w:numPr>
      <w:spacing w:line="288" w:lineRule="auto"/>
      <w:jc w:val="center"/>
    </w:pPr>
    <w:rPr>
      <w:rFonts w:eastAsia="Arial"/>
      <w:b/>
      <w:szCs w:val="20"/>
      <w:lang w:val="en-GB"/>
    </w:rPr>
  </w:style>
  <w:style w:type="paragraph" w:customStyle="1" w:styleId="SCH1-MAINHEAD">
    <w:name w:val="SCH 1 - MAIN HEAD"/>
    <w:basedOn w:val="BodyText"/>
    <w:next w:val="SCH1-SUBHEAD"/>
    <w:uiPriority w:val="99"/>
    <w:semiHidden/>
    <w:unhideWhenUsed/>
    <w:rsid w:val="00FB206F"/>
    <w:pPr>
      <w:keepNext/>
      <w:keepLines/>
      <w:numPr>
        <w:numId w:val="21"/>
      </w:numPr>
      <w:spacing w:line="288" w:lineRule="auto"/>
      <w:jc w:val="center"/>
    </w:pPr>
    <w:rPr>
      <w:rFonts w:eastAsia="Arial"/>
      <w:b/>
      <w:sz w:val="22"/>
      <w:szCs w:val="20"/>
      <w:lang w:val="en-GB"/>
    </w:rPr>
  </w:style>
  <w:style w:type="paragraph" w:customStyle="1" w:styleId="Body">
    <w:name w:val="Body"/>
    <w:basedOn w:val="Normal"/>
    <w:link w:val="BodyChar"/>
    <w:qFormat/>
    <w:rsid w:val="00134258"/>
    <w:pPr>
      <w:adjustRightInd w:val="0"/>
      <w:spacing w:before="142" w:line="280" w:lineRule="atLeast"/>
    </w:pPr>
    <w:rPr>
      <w:rFonts w:eastAsia="Arial" w:cs="Arial"/>
      <w:lang w:val="en-GB" w:eastAsia="en-GB"/>
    </w:rPr>
  </w:style>
  <w:style w:type="character" w:customStyle="1" w:styleId="BodyChar">
    <w:name w:val="Body Char"/>
    <w:link w:val="Body"/>
    <w:rsid w:val="00134258"/>
    <w:rPr>
      <w:rFonts w:ascii="Arial" w:eastAsia="Arial" w:hAnsi="Arial" w:cs="Arial"/>
    </w:rPr>
  </w:style>
  <w:style w:type="character" w:customStyle="1" w:styleId="tgc">
    <w:name w:val="_tgc"/>
    <w:rsid w:val="00A54F09"/>
  </w:style>
  <w:style w:type="paragraph" w:customStyle="1" w:styleId="NormalWeb0">
    <w:name w:val="Normal(Web)"/>
    <w:basedOn w:val="Normal"/>
    <w:rsid w:val="00A54F09"/>
    <w:pPr>
      <w:widowControl w:val="0"/>
      <w:autoSpaceDE w:val="0"/>
      <w:autoSpaceDN w:val="0"/>
      <w:adjustRightInd w:val="0"/>
    </w:pPr>
    <w:rPr>
      <w:rFonts w:cs="Arial"/>
      <w:sz w:val="24"/>
      <w:szCs w:val="24"/>
      <w:lang w:val="en-GB" w:eastAsia="en-GB"/>
    </w:rPr>
  </w:style>
  <w:style w:type="paragraph" w:customStyle="1" w:styleId="Pa7">
    <w:name w:val="Pa7"/>
    <w:basedOn w:val="Normal"/>
    <w:next w:val="Normal"/>
    <w:uiPriority w:val="99"/>
    <w:rsid w:val="00943CEC"/>
    <w:pPr>
      <w:widowControl w:val="0"/>
      <w:autoSpaceDE w:val="0"/>
      <w:autoSpaceDN w:val="0"/>
      <w:adjustRightInd w:val="0"/>
      <w:spacing w:line="201" w:lineRule="atLeast"/>
      <w:jc w:val="left"/>
    </w:pPr>
    <w:rPr>
      <w:rFonts w:ascii="Swis721 BT" w:hAnsi="Swis721 BT"/>
      <w:sz w:val="24"/>
      <w:szCs w:val="24"/>
      <w:lang w:val="de-DE" w:eastAsia="de-DE"/>
    </w:rPr>
  </w:style>
  <w:style w:type="paragraph" w:customStyle="1" w:styleId="Pa0">
    <w:name w:val="Pa0"/>
    <w:basedOn w:val="Normal"/>
    <w:next w:val="Normal"/>
    <w:uiPriority w:val="99"/>
    <w:rsid w:val="00943CEC"/>
    <w:pPr>
      <w:widowControl w:val="0"/>
      <w:autoSpaceDE w:val="0"/>
      <w:autoSpaceDN w:val="0"/>
      <w:adjustRightInd w:val="0"/>
      <w:spacing w:line="161" w:lineRule="atLeast"/>
      <w:jc w:val="left"/>
    </w:pPr>
    <w:rPr>
      <w:rFonts w:ascii="Swis721 BT" w:hAnsi="Swis721 BT"/>
      <w:sz w:val="24"/>
      <w:szCs w:val="24"/>
      <w:lang w:val="de-DE" w:eastAsia="de-DE"/>
    </w:rPr>
  </w:style>
  <w:style w:type="paragraph" w:customStyle="1" w:styleId="Pa13">
    <w:name w:val="Pa13"/>
    <w:basedOn w:val="Normal"/>
    <w:next w:val="Normal"/>
    <w:uiPriority w:val="99"/>
    <w:rsid w:val="00B35C4E"/>
    <w:pPr>
      <w:widowControl w:val="0"/>
      <w:autoSpaceDE w:val="0"/>
      <w:autoSpaceDN w:val="0"/>
      <w:adjustRightInd w:val="0"/>
      <w:spacing w:line="161" w:lineRule="atLeast"/>
      <w:jc w:val="left"/>
    </w:pPr>
    <w:rPr>
      <w:rFonts w:ascii="Swis721 BT" w:eastAsiaTheme="minorEastAsia" w:hAnsi="Swis721 BT"/>
      <w:sz w:val="24"/>
      <w:szCs w:val="24"/>
      <w:lang w:val="de-DE" w:eastAsia="de-DE"/>
    </w:rPr>
  </w:style>
  <w:style w:type="paragraph" w:customStyle="1" w:styleId="NormalLinespacingMultiple115li">
    <w:name w:val="Normal + Line spacing:  Multiple 1.15 li"/>
    <w:basedOn w:val="Normal"/>
    <w:rsid w:val="0077134D"/>
    <w:pPr>
      <w:spacing w:line="276" w:lineRule="auto"/>
    </w:pPr>
    <w:rPr>
      <w:rFonts w:eastAsia="SimSun"/>
      <w:b/>
    </w:rPr>
  </w:style>
  <w:style w:type="paragraph" w:customStyle="1" w:styleId="intro">
    <w:name w:val="intro"/>
    <w:basedOn w:val="Normal"/>
    <w:rsid w:val="00311760"/>
    <w:pPr>
      <w:spacing w:before="100" w:beforeAutospacing="1" w:after="100" w:afterAutospacing="1"/>
      <w:jc w:val="left"/>
    </w:pPr>
    <w:rPr>
      <w:rFonts w:ascii="Times New Roman" w:hAnsi="Times New Roman"/>
      <w:sz w:val="24"/>
      <w:szCs w:val="24"/>
      <w:lang w:val="en-GB" w:eastAsia="en-GB"/>
    </w:rPr>
  </w:style>
  <w:style w:type="numbering" w:customStyle="1" w:styleId="Style1">
    <w:name w:val="Style1"/>
    <w:uiPriority w:val="99"/>
    <w:rsid w:val="00AA1B32"/>
    <w:pPr>
      <w:numPr>
        <w:numId w:val="22"/>
      </w:numPr>
    </w:pPr>
  </w:style>
  <w:style w:type="character" w:customStyle="1" w:styleId="Body1Char">
    <w:name w:val="Body 1 Char"/>
    <w:link w:val="Body1"/>
    <w:uiPriority w:val="99"/>
    <w:rsid w:val="00EE4D04"/>
    <w:rPr>
      <w:rFonts w:ascii="Arial" w:hAnsi="Arial"/>
      <w:lang w:val="en-IE" w:eastAsia="en-US"/>
    </w:rPr>
  </w:style>
  <w:style w:type="paragraph" w:styleId="NoSpacing">
    <w:name w:val="No Spacing"/>
    <w:uiPriority w:val="1"/>
    <w:qFormat/>
    <w:rsid w:val="005070CF"/>
    <w:pPr>
      <w:jc w:val="both"/>
    </w:pPr>
    <w:rPr>
      <w:rFonts w:ascii="Arial" w:hAnsi="Arial"/>
      <w:lang w:val="en-IE" w:eastAsia="en-US"/>
    </w:rPr>
  </w:style>
  <w:style w:type="character" w:customStyle="1" w:styleId="Bullet1Char">
    <w:name w:val="Bullet 1 Char"/>
    <w:link w:val="Bullet1"/>
    <w:uiPriority w:val="99"/>
    <w:rsid w:val="009600CF"/>
    <w:rPr>
      <w:rFonts w:ascii="Arial" w:hAnsi="Arial"/>
      <w:lang w:val="en-IE" w:eastAsia="en-US"/>
    </w:rPr>
  </w:style>
  <w:style w:type="character" w:customStyle="1" w:styleId="Bullet2Char">
    <w:name w:val="Bullet 2 Char"/>
    <w:link w:val="Bullet2"/>
    <w:uiPriority w:val="99"/>
    <w:rsid w:val="009600CF"/>
    <w:rPr>
      <w:rFonts w:ascii="Arial" w:hAnsi="Arial"/>
      <w:lang w:val="en-IE" w:eastAsia="en-US"/>
    </w:rPr>
  </w:style>
  <w:style w:type="table" w:customStyle="1" w:styleId="PlainTable11">
    <w:name w:val="Plain Table 11"/>
    <w:basedOn w:val="TableNormal"/>
    <w:next w:val="PlainTable1"/>
    <w:uiPriority w:val="41"/>
    <w:rsid w:val="009600CF"/>
    <w:rPr>
      <w:rFonts w:asciiTheme="minorHAnsi" w:hAnsiTheme="minorHAnsi" w:cstheme="minorBid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sPara">
    <w:name w:val="ssPara"/>
    <w:basedOn w:val="Normal"/>
    <w:uiPriority w:val="1"/>
    <w:qFormat/>
    <w:rsid w:val="009600CF"/>
    <w:pPr>
      <w:numPr>
        <w:numId w:val="31"/>
      </w:numPr>
      <w:spacing w:after="260"/>
    </w:pPr>
    <w:rPr>
      <w:rFonts w:eastAsiaTheme="minorHAnsi" w:cstheme="minorBidi"/>
      <w:szCs w:val="22"/>
      <w:lang w:val="en-GB"/>
    </w:rPr>
  </w:style>
  <w:style w:type="paragraph" w:customStyle="1" w:styleId="ssPara1">
    <w:name w:val="ssPara1"/>
    <w:basedOn w:val="Normal"/>
    <w:uiPriority w:val="34"/>
    <w:qFormat/>
    <w:rsid w:val="009600CF"/>
    <w:pPr>
      <w:numPr>
        <w:ilvl w:val="1"/>
        <w:numId w:val="31"/>
      </w:numPr>
      <w:spacing w:after="260"/>
    </w:pPr>
    <w:rPr>
      <w:rFonts w:eastAsiaTheme="minorHAnsi" w:cstheme="minorBidi"/>
      <w:szCs w:val="22"/>
      <w:lang w:val="en-GB"/>
    </w:rPr>
  </w:style>
  <w:style w:type="paragraph" w:customStyle="1" w:styleId="ssPara2">
    <w:name w:val="ssPara2"/>
    <w:basedOn w:val="Normal"/>
    <w:uiPriority w:val="1"/>
    <w:qFormat/>
    <w:rsid w:val="009600CF"/>
    <w:pPr>
      <w:numPr>
        <w:ilvl w:val="2"/>
        <w:numId w:val="31"/>
      </w:numPr>
      <w:spacing w:after="260"/>
    </w:pPr>
    <w:rPr>
      <w:rFonts w:eastAsiaTheme="minorHAnsi" w:cstheme="minorBidi"/>
      <w:szCs w:val="22"/>
      <w:lang w:val="en-GB"/>
    </w:rPr>
  </w:style>
  <w:style w:type="paragraph" w:customStyle="1" w:styleId="ssPara3">
    <w:name w:val="ssPara3"/>
    <w:basedOn w:val="Normal"/>
    <w:uiPriority w:val="1"/>
    <w:rsid w:val="009600CF"/>
    <w:pPr>
      <w:numPr>
        <w:ilvl w:val="3"/>
        <w:numId w:val="31"/>
      </w:numPr>
      <w:spacing w:after="260"/>
    </w:pPr>
    <w:rPr>
      <w:rFonts w:eastAsiaTheme="minorHAnsi" w:cstheme="minorBidi"/>
      <w:szCs w:val="22"/>
      <w:lang w:val="en-GB"/>
    </w:rPr>
  </w:style>
  <w:style w:type="paragraph" w:customStyle="1" w:styleId="ssPara4">
    <w:name w:val="ssPara4"/>
    <w:basedOn w:val="Normal"/>
    <w:uiPriority w:val="1"/>
    <w:rsid w:val="009600CF"/>
    <w:pPr>
      <w:numPr>
        <w:ilvl w:val="4"/>
        <w:numId w:val="31"/>
      </w:numPr>
      <w:spacing w:after="260"/>
    </w:pPr>
    <w:rPr>
      <w:rFonts w:eastAsiaTheme="minorHAnsi" w:cstheme="minorBidi"/>
      <w:szCs w:val="22"/>
      <w:lang w:val="en-GB"/>
    </w:rPr>
  </w:style>
  <w:style w:type="paragraph" w:customStyle="1" w:styleId="ssPara5">
    <w:name w:val="ssPara5"/>
    <w:basedOn w:val="Normal"/>
    <w:uiPriority w:val="1"/>
    <w:rsid w:val="009600CF"/>
    <w:pPr>
      <w:numPr>
        <w:ilvl w:val="5"/>
        <w:numId w:val="31"/>
      </w:numPr>
      <w:spacing w:after="260"/>
    </w:pPr>
    <w:rPr>
      <w:rFonts w:eastAsiaTheme="minorHAnsi" w:cstheme="minorBidi"/>
      <w:szCs w:val="22"/>
      <w:lang w:val="en-GB"/>
    </w:rPr>
  </w:style>
  <w:style w:type="paragraph" w:customStyle="1" w:styleId="ssPara6">
    <w:name w:val="ssPara6"/>
    <w:basedOn w:val="Normal"/>
    <w:uiPriority w:val="1"/>
    <w:rsid w:val="009600CF"/>
    <w:pPr>
      <w:numPr>
        <w:ilvl w:val="6"/>
        <w:numId w:val="31"/>
      </w:numPr>
      <w:spacing w:after="260"/>
    </w:pPr>
    <w:rPr>
      <w:rFonts w:eastAsiaTheme="minorHAnsi" w:cstheme="minorBidi"/>
      <w:szCs w:val="22"/>
      <w:lang w:val="en-GB"/>
    </w:rPr>
  </w:style>
  <w:style w:type="numbering" w:customStyle="1" w:styleId="NumPara">
    <w:name w:val="NumPara"/>
    <w:uiPriority w:val="99"/>
    <w:rsid w:val="009600CF"/>
    <w:pPr>
      <w:numPr>
        <w:numId w:val="30"/>
      </w:numPr>
    </w:pPr>
  </w:style>
  <w:style w:type="paragraph" w:customStyle="1" w:styleId="3lineandparagraphspacingjustified">
    <w:name w:val="3 line and paragraph spacing justified"/>
    <w:basedOn w:val="BodyText"/>
    <w:link w:val="3lineandparagraphspacingjustifiedChar"/>
    <w:qFormat/>
    <w:rsid w:val="009600CF"/>
    <w:pPr>
      <w:tabs>
        <w:tab w:val="left" w:pos="0"/>
      </w:tabs>
      <w:spacing w:after="0" w:line="360" w:lineRule="auto"/>
      <w:ind w:left="425" w:hanging="425"/>
    </w:pPr>
    <w:rPr>
      <w:rFonts w:cs="Arial"/>
      <w:spacing w:val="-5"/>
      <w:sz w:val="22"/>
      <w:szCs w:val="22"/>
      <w:lang w:val="en-GB"/>
    </w:rPr>
  </w:style>
  <w:style w:type="character" w:customStyle="1" w:styleId="3lineandparagraphspacingjustifiedChar">
    <w:name w:val="3 line and paragraph spacing justified Char"/>
    <w:link w:val="3lineandparagraphspacingjustified"/>
    <w:rsid w:val="009600CF"/>
    <w:rPr>
      <w:rFonts w:ascii="Arial" w:hAnsi="Arial" w:cs="Arial"/>
      <w:spacing w:val="-5"/>
      <w:sz w:val="22"/>
      <w:szCs w:val="22"/>
      <w:lang w:val="en-GB" w:eastAsia="en-US"/>
    </w:rPr>
  </w:style>
  <w:style w:type="table" w:styleId="PlainTable1">
    <w:name w:val="Plain Table 1"/>
    <w:basedOn w:val="TableNormal"/>
    <w:uiPriority w:val="41"/>
    <w:rsid w:val="009600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67"/>
    <w:semiHidden/>
    <w:rsid w:val="00B14D10"/>
    <w:rPr>
      <w:color w:val="666666"/>
    </w:rPr>
  </w:style>
  <w:style w:type="character" w:customStyle="1" w:styleId="cf01">
    <w:name w:val="cf01"/>
    <w:basedOn w:val="DefaultParagraphFont"/>
    <w:rsid w:val="000568F0"/>
    <w:rPr>
      <w:rFonts w:ascii="Segoe UI" w:hAnsi="Segoe UI" w:cs="Segoe UI" w:hint="default"/>
      <w:sz w:val="18"/>
      <w:szCs w:val="18"/>
    </w:rPr>
  </w:style>
  <w:style w:type="character" w:styleId="UnresolvedMention">
    <w:name w:val="Unresolved Mention"/>
    <w:basedOn w:val="DefaultParagraphFont"/>
    <w:uiPriority w:val="99"/>
    <w:semiHidden/>
    <w:unhideWhenUsed/>
    <w:rsid w:val="0017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757">
      <w:bodyDiv w:val="1"/>
      <w:marLeft w:val="0"/>
      <w:marRight w:val="0"/>
      <w:marTop w:val="0"/>
      <w:marBottom w:val="0"/>
      <w:divBdr>
        <w:top w:val="none" w:sz="0" w:space="0" w:color="auto"/>
        <w:left w:val="none" w:sz="0" w:space="0" w:color="auto"/>
        <w:bottom w:val="none" w:sz="0" w:space="0" w:color="auto"/>
        <w:right w:val="none" w:sz="0" w:space="0" w:color="auto"/>
      </w:divBdr>
    </w:div>
    <w:div w:id="56902218">
      <w:bodyDiv w:val="1"/>
      <w:marLeft w:val="0"/>
      <w:marRight w:val="0"/>
      <w:marTop w:val="0"/>
      <w:marBottom w:val="0"/>
      <w:divBdr>
        <w:top w:val="none" w:sz="0" w:space="0" w:color="auto"/>
        <w:left w:val="none" w:sz="0" w:space="0" w:color="auto"/>
        <w:bottom w:val="none" w:sz="0" w:space="0" w:color="auto"/>
        <w:right w:val="none" w:sz="0" w:space="0" w:color="auto"/>
      </w:divBdr>
      <w:divsChild>
        <w:div w:id="585461407">
          <w:marLeft w:val="0"/>
          <w:marRight w:val="0"/>
          <w:marTop w:val="0"/>
          <w:marBottom w:val="0"/>
          <w:divBdr>
            <w:top w:val="none" w:sz="0" w:space="0" w:color="auto"/>
            <w:left w:val="none" w:sz="0" w:space="0" w:color="auto"/>
            <w:bottom w:val="none" w:sz="0" w:space="0" w:color="auto"/>
            <w:right w:val="none" w:sz="0" w:space="0" w:color="auto"/>
          </w:divBdr>
        </w:div>
        <w:div w:id="1760788402">
          <w:marLeft w:val="0"/>
          <w:marRight w:val="0"/>
          <w:marTop w:val="0"/>
          <w:marBottom w:val="0"/>
          <w:divBdr>
            <w:top w:val="none" w:sz="0" w:space="0" w:color="auto"/>
            <w:left w:val="none" w:sz="0" w:space="0" w:color="auto"/>
            <w:bottom w:val="none" w:sz="0" w:space="0" w:color="auto"/>
            <w:right w:val="none" w:sz="0" w:space="0" w:color="auto"/>
          </w:divBdr>
        </w:div>
      </w:divsChild>
    </w:div>
    <w:div w:id="93598934">
      <w:bodyDiv w:val="1"/>
      <w:marLeft w:val="0"/>
      <w:marRight w:val="0"/>
      <w:marTop w:val="0"/>
      <w:marBottom w:val="0"/>
      <w:divBdr>
        <w:top w:val="none" w:sz="0" w:space="0" w:color="auto"/>
        <w:left w:val="none" w:sz="0" w:space="0" w:color="auto"/>
        <w:bottom w:val="none" w:sz="0" w:space="0" w:color="auto"/>
        <w:right w:val="none" w:sz="0" w:space="0" w:color="auto"/>
      </w:divBdr>
    </w:div>
    <w:div w:id="108277890">
      <w:bodyDiv w:val="1"/>
      <w:marLeft w:val="0"/>
      <w:marRight w:val="0"/>
      <w:marTop w:val="0"/>
      <w:marBottom w:val="0"/>
      <w:divBdr>
        <w:top w:val="none" w:sz="0" w:space="0" w:color="auto"/>
        <w:left w:val="none" w:sz="0" w:space="0" w:color="auto"/>
        <w:bottom w:val="none" w:sz="0" w:space="0" w:color="auto"/>
        <w:right w:val="none" w:sz="0" w:space="0" w:color="auto"/>
      </w:divBdr>
    </w:div>
    <w:div w:id="157505649">
      <w:bodyDiv w:val="1"/>
      <w:marLeft w:val="0"/>
      <w:marRight w:val="0"/>
      <w:marTop w:val="0"/>
      <w:marBottom w:val="0"/>
      <w:divBdr>
        <w:top w:val="none" w:sz="0" w:space="0" w:color="auto"/>
        <w:left w:val="none" w:sz="0" w:space="0" w:color="auto"/>
        <w:bottom w:val="none" w:sz="0" w:space="0" w:color="auto"/>
        <w:right w:val="none" w:sz="0" w:space="0" w:color="auto"/>
      </w:divBdr>
    </w:div>
    <w:div w:id="169681963">
      <w:bodyDiv w:val="1"/>
      <w:marLeft w:val="0"/>
      <w:marRight w:val="0"/>
      <w:marTop w:val="0"/>
      <w:marBottom w:val="0"/>
      <w:divBdr>
        <w:top w:val="none" w:sz="0" w:space="0" w:color="auto"/>
        <w:left w:val="none" w:sz="0" w:space="0" w:color="auto"/>
        <w:bottom w:val="none" w:sz="0" w:space="0" w:color="auto"/>
        <w:right w:val="none" w:sz="0" w:space="0" w:color="auto"/>
      </w:divBdr>
    </w:div>
    <w:div w:id="269777110">
      <w:bodyDiv w:val="1"/>
      <w:marLeft w:val="0"/>
      <w:marRight w:val="0"/>
      <w:marTop w:val="0"/>
      <w:marBottom w:val="0"/>
      <w:divBdr>
        <w:top w:val="none" w:sz="0" w:space="0" w:color="auto"/>
        <w:left w:val="none" w:sz="0" w:space="0" w:color="auto"/>
        <w:bottom w:val="none" w:sz="0" w:space="0" w:color="auto"/>
        <w:right w:val="none" w:sz="0" w:space="0" w:color="auto"/>
      </w:divBdr>
      <w:divsChild>
        <w:div w:id="1988434809">
          <w:marLeft w:val="0"/>
          <w:marRight w:val="0"/>
          <w:marTop w:val="0"/>
          <w:marBottom w:val="0"/>
          <w:divBdr>
            <w:top w:val="none" w:sz="0" w:space="0" w:color="auto"/>
            <w:left w:val="none" w:sz="0" w:space="0" w:color="auto"/>
            <w:bottom w:val="none" w:sz="0" w:space="0" w:color="auto"/>
            <w:right w:val="none" w:sz="0" w:space="0" w:color="auto"/>
          </w:divBdr>
        </w:div>
        <w:div w:id="2022394281">
          <w:marLeft w:val="0"/>
          <w:marRight w:val="0"/>
          <w:marTop w:val="0"/>
          <w:marBottom w:val="0"/>
          <w:divBdr>
            <w:top w:val="none" w:sz="0" w:space="0" w:color="auto"/>
            <w:left w:val="none" w:sz="0" w:space="0" w:color="auto"/>
            <w:bottom w:val="none" w:sz="0" w:space="0" w:color="auto"/>
            <w:right w:val="none" w:sz="0" w:space="0" w:color="auto"/>
          </w:divBdr>
        </w:div>
        <w:div w:id="2035840215">
          <w:marLeft w:val="0"/>
          <w:marRight w:val="0"/>
          <w:marTop w:val="0"/>
          <w:marBottom w:val="0"/>
          <w:divBdr>
            <w:top w:val="none" w:sz="0" w:space="0" w:color="auto"/>
            <w:left w:val="none" w:sz="0" w:space="0" w:color="auto"/>
            <w:bottom w:val="none" w:sz="0" w:space="0" w:color="auto"/>
            <w:right w:val="none" w:sz="0" w:space="0" w:color="auto"/>
          </w:divBdr>
        </w:div>
      </w:divsChild>
    </w:div>
    <w:div w:id="312107963">
      <w:bodyDiv w:val="1"/>
      <w:marLeft w:val="0"/>
      <w:marRight w:val="0"/>
      <w:marTop w:val="0"/>
      <w:marBottom w:val="0"/>
      <w:divBdr>
        <w:top w:val="none" w:sz="0" w:space="0" w:color="auto"/>
        <w:left w:val="none" w:sz="0" w:space="0" w:color="auto"/>
        <w:bottom w:val="none" w:sz="0" w:space="0" w:color="auto"/>
        <w:right w:val="none" w:sz="0" w:space="0" w:color="auto"/>
      </w:divBdr>
    </w:div>
    <w:div w:id="343821384">
      <w:bodyDiv w:val="1"/>
      <w:marLeft w:val="0"/>
      <w:marRight w:val="0"/>
      <w:marTop w:val="0"/>
      <w:marBottom w:val="0"/>
      <w:divBdr>
        <w:top w:val="none" w:sz="0" w:space="0" w:color="auto"/>
        <w:left w:val="none" w:sz="0" w:space="0" w:color="auto"/>
        <w:bottom w:val="none" w:sz="0" w:space="0" w:color="auto"/>
        <w:right w:val="none" w:sz="0" w:space="0" w:color="auto"/>
      </w:divBdr>
    </w:div>
    <w:div w:id="496313073">
      <w:bodyDiv w:val="1"/>
      <w:marLeft w:val="0"/>
      <w:marRight w:val="0"/>
      <w:marTop w:val="0"/>
      <w:marBottom w:val="0"/>
      <w:divBdr>
        <w:top w:val="none" w:sz="0" w:space="0" w:color="auto"/>
        <w:left w:val="none" w:sz="0" w:space="0" w:color="auto"/>
        <w:bottom w:val="none" w:sz="0" w:space="0" w:color="auto"/>
        <w:right w:val="none" w:sz="0" w:space="0" w:color="auto"/>
      </w:divBdr>
    </w:div>
    <w:div w:id="508839004">
      <w:bodyDiv w:val="1"/>
      <w:marLeft w:val="0"/>
      <w:marRight w:val="0"/>
      <w:marTop w:val="0"/>
      <w:marBottom w:val="0"/>
      <w:divBdr>
        <w:top w:val="none" w:sz="0" w:space="0" w:color="auto"/>
        <w:left w:val="none" w:sz="0" w:space="0" w:color="auto"/>
        <w:bottom w:val="none" w:sz="0" w:space="0" w:color="auto"/>
        <w:right w:val="none" w:sz="0" w:space="0" w:color="auto"/>
      </w:divBdr>
    </w:div>
    <w:div w:id="514265607">
      <w:bodyDiv w:val="1"/>
      <w:marLeft w:val="0"/>
      <w:marRight w:val="0"/>
      <w:marTop w:val="0"/>
      <w:marBottom w:val="0"/>
      <w:divBdr>
        <w:top w:val="none" w:sz="0" w:space="0" w:color="auto"/>
        <w:left w:val="none" w:sz="0" w:space="0" w:color="auto"/>
        <w:bottom w:val="none" w:sz="0" w:space="0" w:color="auto"/>
        <w:right w:val="none" w:sz="0" w:space="0" w:color="auto"/>
      </w:divBdr>
    </w:div>
    <w:div w:id="545218175">
      <w:bodyDiv w:val="1"/>
      <w:marLeft w:val="0"/>
      <w:marRight w:val="0"/>
      <w:marTop w:val="0"/>
      <w:marBottom w:val="0"/>
      <w:divBdr>
        <w:top w:val="none" w:sz="0" w:space="0" w:color="auto"/>
        <w:left w:val="none" w:sz="0" w:space="0" w:color="auto"/>
        <w:bottom w:val="none" w:sz="0" w:space="0" w:color="auto"/>
        <w:right w:val="none" w:sz="0" w:space="0" w:color="auto"/>
      </w:divBdr>
    </w:div>
    <w:div w:id="569730144">
      <w:bodyDiv w:val="1"/>
      <w:marLeft w:val="0"/>
      <w:marRight w:val="0"/>
      <w:marTop w:val="0"/>
      <w:marBottom w:val="0"/>
      <w:divBdr>
        <w:top w:val="none" w:sz="0" w:space="0" w:color="auto"/>
        <w:left w:val="none" w:sz="0" w:space="0" w:color="auto"/>
        <w:bottom w:val="none" w:sz="0" w:space="0" w:color="auto"/>
        <w:right w:val="none" w:sz="0" w:space="0" w:color="auto"/>
      </w:divBdr>
    </w:div>
    <w:div w:id="591551817">
      <w:bodyDiv w:val="1"/>
      <w:marLeft w:val="0"/>
      <w:marRight w:val="0"/>
      <w:marTop w:val="0"/>
      <w:marBottom w:val="0"/>
      <w:divBdr>
        <w:top w:val="none" w:sz="0" w:space="0" w:color="auto"/>
        <w:left w:val="none" w:sz="0" w:space="0" w:color="auto"/>
        <w:bottom w:val="none" w:sz="0" w:space="0" w:color="auto"/>
        <w:right w:val="none" w:sz="0" w:space="0" w:color="auto"/>
      </w:divBdr>
    </w:div>
    <w:div w:id="604505786">
      <w:bodyDiv w:val="1"/>
      <w:marLeft w:val="0"/>
      <w:marRight w:val="0"/>
      <w:marTop w:val="0"/>
      <w:marBottom w:val="0"/>
      <w:divBdr>
        <w:top w:val="none" w:sz="0" w:space="0" w:color="auto"/>
        <w:left w:val="none" w:sz="0" w:space="0" w:color="auto"/>
        <w:bottom w:val="none" w:sz="0" w:space="0" w:color="auto"/>
        <w:right w:val="none" w:sz="0" w:space="0" w:color="auto"/>
      </w:divBdr>
    </w:div>
    <w:div w:id="669213882">
      <w:bodyDiv w:val="1"/>
      <w:marLeft w:val="0"/>
      <w:marRight w:val="0"/>
      <w:marTop w:val="0"/>
      <w:marBottom w:val="0"/>
      <w:divBdr>
        <w:top w:val="none" w:sz="0" w:space="0" w:color="auto"/>
        <w:left w:val="none" w:sz="0" w:space="0" w:color="auto"/>
        <w:bottom w:val="none" w:sz="0" w:space="0" w:color="auto"/>
        <w:right w:val="none" w:sz="0" w:space="0" w:color="auto"/>
      </w:divBdr>
    </w:div>
    <w:div w:id="880628117">
      <w:bodyDiv w:val="1"/>
      <w:marLeft w:val="0"/>
      <w:marRight w:val="0"/>
      <w:marTop w:val="0"/>
      <w:marBottom w:val="0"/>
      <w:divBdr>
        <w:top w:val="none" w:sz="0" w:space="0" w:color="auto"/>
        <w:left w:val="none" w:sz="0" w:space="0" w:color="auto"/>
        <w:bottom w:val="none" w:sz="0" w:space="0" w:color="auto"/>
        <w:right w:val="none" w:sz="0" w:space="0" w:color="auto"/>
      </w:divBdr>
    </w:div>
    <w:div w:id="915088024">
      <w:bodyDiv w:val="1"/>
      <w:marLeft w:val="0"/>
      <w:marRight w:val="0"/>
      <w:marTop w:val="0"/>
      <w:marBottom w:val="0"/>
      <w:divBdr>
        <w:top w:val="none" w:sz="0" w:space="0" w:color="auto"/>
        <w:left w:val="none" w:sz="0" w:space="0" w:color="auto"/>
        <w:bottom w:val="none" w:sz="0" w:space="0" w:color="auto"/>
        <w:right w:val="none" w:sz="0" w:space="0" w:color="auto"/>
      </w:divBdr>
    </w:div>
    <w:div w:id="993532327">
      <w:bodyDiv w:val="1"/>
      <w:marLeft w:val="0"/>
      <w:marRight w:val="0"/>
      <w:marTop w:val="0"/>
      <w:marBottom w:val="0"/>
      <w:divBdr>
        <w:top w:val="none" w:sz="0" w:space="0" w:color="auto"/>
        <w:left w:val="none" w:sz="0" w:space="0" w:color="auto"/>
        <w:bottom w:val="none" w:sz="0" w:space="0" w:color="auto"/>
        <w:right w:val="none" w:sz="0" w:space="0" w:color="auto"/>
      </w:divBdr>
    </w:div>
    <w:div w:id="1031497784">
      <w:bodyDiv w:val="1"/>
      <w:marLeft w:val="0"/>
      <w:marRight w:val="0"/>
      <w:marTop w:val="0"/>
      <w:marBottom w:val="0"/>
      <w:divBdr>
        <w:top w:val="none" w:sz="0" w:space="0" w:color="auto"/>
        <w:left w:val="none" w:sz="0" w:space="0" w:color="auto"/>
        <w:bottom w:val="none" w:sz="0" w:space="0" w:color="auto"/>
        <w:right w:val="none" w:sz="0" w:space="0" w:color="auto"/>
      </w:divBdr>
    </w:div>
    <w:div w:id="1059863626">
      <w:bodyDiv w:val="1"/>
      <w:marLeft w:val="0"/>
      <w:marRight w:val="0"/>
      <w:marTop w:val="0"/>
      <w:marBottom w:val="0"/>
      <w:divBdr>
        <w:top w:val="none" w:sz="0" w:space="0" w:color="auto"/>
        <w:left w:val="none" w:sz="0" w:space="0" w:color="auto"/>
        <w:bottom w:val="none" w:sz="0" w:space="0" w:color="auto"/>
        <w:right w:val="none" w:sz="0" w:space="0" w:color="auto"/>
      </w:divBdr>
    </w:div>
    <w:div w:id="1118522475">
      <w:bodyDiv w:val="1"/>
      <w:marLeft w:val="0"/>
      <w:marRight w:val="0"/>
      <w:marTop w:val="0"/>
      <w:marBottom w:val="0"/>
      <w:divBdr>
        <w:top w:val="none" w:sz="0" w:space="0" w:color="auto"/>
        <w:left w:val="none" w:sz="0" w:space="0" w:color="auto"/>
        <w:bottom w:val="none" w:sz="0" w:space="0" w:color="auto"/>
        <w:right w:val="none" w:sz="0" w:space="0" w:color="auto"/>
      </w:divBdr>
    </w:div>
    <w:div w:id="1146823459">
      <w:bodyDiv w:val="1"/>
      <w:marLeft w:val="0"/>
      <w:marRight w:val="0"/>
      <w:marTop w:val="0"/>
      <w:marBottom w:val="0"/>
      <w:divBdr>
        <w:top w:val="none" w:sz="0" w:space="0" w:color="auto"/>
        <w:left w:val="none" w:sz="0" w:space="0" w:color="auto"/>
        <w:bottom w:val="none" w:sz="0" w:space="0" w:color="auto"/>
        <w:right w:val="none" w:sz="0" w:space="0" w:color="auto"/>
      </w:divBdr>
    </w:div>
    <w:div w:id="1183591603">
      <w:bodyDiv w:val="1"/>
      <w:marLeft w:val="0"/>
      <w:marRight w:val="0"/>
      <w:marTop w:val="0"/>
      <w:marBottom w:val="0"/>
      <w:divBdr>
        <w:top w:val="none" w:sz="0" w:space="0" w:color="auto"/>
        <w:left w:val="none" w:sz="0" w:space="0" w:color="auto"/>
        <w:bottom w:val="none" w:sz="0" w:space="0" w:color="auto"/>
        <w:right w:val="none" w:sz="0" w:space="0" w:color="auto"/>
      </w:divBdr>
    </w:div>
    <w:div w:id="1206523218">
      <w:bodyDiv w:val="1"/>
      <w:marLeft w:val="0"/>
      <w:marRight w:val="0"/>
      <w:marTop w:val="0"/>
      <w:marBottom w:val="0"/>
      <w:divBdr>
        <w:top w:val="none" w:sz="0" w:space="0" w:color="auto"/>
        <w:left w:val="none" w:sz="0" w:space="0" w:color="auto"/>
        <w:bottom w:val="none" w:sz="0" w:space="0" w:color="auto"/>
        <w:right w:val="none" w:sz="0" w:space="0" w:color="auto"/>
      </w:divBdr>
    </w:div>
    <w:div w:id="1232429548">
      <w:bodyDiv w:val="1"/>
      <w:marLeft w:val="0"/>
      <w:marRight w:val="0"/>
      <w:marTop w:val="0"/>
      <w:marBottom w:val="0"/>
      <w:divBdr>
        <w:top w:val="none" w:sz="0" w:space="0" w:color="auto"/>
        <w:left w:val="none" w:sz="0" w:space="0" w:color="auto"/>
        <w:bottom w:val="none" w:sz="0" w:space="0" w:color="auto"/>
        <w:right w:val="none" w:sz="0" w:space="0" w:color="auto"/>
      </w:divBdr>
    </w:div>
    <w:div w:id="1246959258">
      <w:bodyDiv w:val="1"/>
      <w:marLeft w:val="0"/>
      <w:marRight w:val="0"/>
      <w:marTop w:val="0"/>
      <w:marBottom w:val="0"/>
      <w:divBdr>
        <w:top w:val="none" w:sz="0" w:space="0" w:color="auto"/>
        <w:left w:val="none" w:sz="0" w:space="0" w:color="auto"/>
        <w:bottom w:val="none" w:sz="0" w:space="0" w:color="auto"/>
        <w:right w:val="none" w:sz="0" w:space="0" w:color="auto"/>
      </w:divBdr>
    </w:div>
    <w:div w:id="1253784742">
      <w:bodyDiv w:val="1"/>
      <w:marLeft w:val="0"/>
      <w:marRight w:val="0"/>
      <w:marTop w:val="0"/>
      <w:marBottom w:val="0"/>
      <w:divBdr>
        <w:top w:val="none" w:sz="0" w:space="0" w:color="auto"/>
        <w:left w:val="none" w:sz="0" w:space="0" w:color="auto"/>
        <w:bottom w:val="none" w:sz="0" w:space="0" w:color="auto"/>
        <w:right w:val="none" w:sz="0" w:space="0" w:color="auto"/>
      </w:divBdr>
    </w:div>
    <w:div w:id="1323578337">
      <w:bodyDiv w:val="1"/>
      <w:marLeft w:val="0"/>
      <w:marRight w:val="0"/>
      <w:marTop w:val="0"/>
      <w:marBottom w:val="0"/>
      <w:divBdr>
        <w:top w:val="none" w:sz="0" w:space="0" w:color="auto"/>
        <w:left w:val="none" w:sz="0" w:space="0" w:color="auto"/>
        <w:bottom w:val="none" w:sz="0" w:space="0" w:color="auto"/>
        <w:right w:val="none" w:sz="0" w:space="0" w:color="auto"/>
      </w:divBdr>
      <w:divsChild>
        <w:div w:id="1170411004">
          <w:marLeft w:val="0"/>
          <w:marRight w:val="0"/>
          <w:marTop w:val="0"/>
          <w:marBottom w:val="0"/>
          <w:divBdr>
            <w:top w:val="none" w:sz="0" w:space="0" w:color="auto"/>
            <w:left w:val="none" w:sz="0" w:space="0" w:color="auto"/>
            <w:bottom w:val="none" w:sz="0" w:space="0" w:color="auto"/>
            <w:right w:val="none" w:sz="0" w:space="0" w:color="auto"/>
          </w:divBdr>
        </w:div>
        <w:div w:id="2019773931">
          <w:marLeft w:val="0"/>
          <w:marRight w:val="0"/>
          <w:marTop w:val="0"/>
          <w:marBottom w:val="0"/>
          <w:divBdr>
            <w:top w:val="none" w:sz="0" w:space="0" w:color="auto"/>
            <w:left w:val="none" w:sz="0" w:space="0" w:color="auto"/>
            <w:bottom w:val="none" w:sz="0" w:space="0" w:color="auto"/>
            <w:right w:val="none" w:sz="0" w:space="0" w:color="auto"/>
          </w:divBdr>
        </w:div>
      </w:divsChild>
    </w:div>
    <w:div w:id="1336029945">
      <w:bodyDiv w:val="1"/>
      <w:marLeft w:val="0"/>
      <w:marRight w:val="0"/>
      <w:marTop w:val="0"/>
      <w:marBottom w:val="0"/>
      <w:divBdr>
        <w:top w:val="none" w:sz="0" w:space="0" w:color="auto"/>
        <w:left w:val="none" w:sz="0" w:space="0" w:color="auto"/>
        <w:bottom w:val="none" w:sz="0" w:space="0" w:color="auto"/>
        <w:right w:val="none" w:sz="0" w:space="0" w:color="auto"/>
      </w:divBdr>
    </w:div>
    <w:div w:id="1424955752">
      <w:bodyDiv w:val="1"/>
      <w:marLeft w:val="0"/>
      <w:marRight w:val="0"/>
      <w:marTop w:val="0"/>
      <w:marBottom w:val="0"/>
      <w:divBdr>
        <w:top w:val="none" w:sz="0" w:space="0" w:color="auto"/>
        <w:left w:val="none" w:sz="0" w:space="0" w:color="auto"/>
        <w:bottom w:val="none" w:sz="0" w:space="0" w:color="auto"/>
        <w:right w:val="none" w:sz="0" w:space="0" w:color="auto"/>
      </w:divBdr>
    </w:div>
    <w:div w:id="1500777208">
      <w:bodyDiv w:val="1"/>
      <w:marLeft w:val="0"/>
      <w:marRight w:val="0"/>
      <w:marTop w:val="0"/>
      <w:marBottom w:val="0"/>
      <w:divBdr>
        <w:top w:val="none" w:sz="0" w:space="0" w:color="auto"/>
        <w:left w:val="none" w:sz="0" w:space="0" w:color="auto"/>
        <w:bottom w:val="none" w:sz="0" w:space="0" w:color="auto"/>
        <w:right w:val="none" w:sz="0" w:space="0" w:color="auto"/>
      </w:divBdr>
    </w:div>
    <w:div w:id="1545143672">
      <w:bodyDiv w:val="1"/>
      <w:marLeft w:val="0"/>
      <w:marRight w:val="0"/>
      <w:marTop w:val="0"/>
      <w:marBottom w:val="0"/>
      <w:divBdr>
        <w:top w:val="none" w:sz="0" w:space="0" w:color="auto"/>
        <w:left w:val="none" w:sz="0" w:space="0" w:color="auto"/>
        <w:bottom w:val="none" w:sz="0" w:space="0" w:color="auto"/>
        <w:right w:val="none" w:sz="0" w:space="0" w:color="auto"/>
      </w:divBdr>
    </w:div>
    <w:div w:id="1556549056">
      <w:bodyDiv w:val="1"/>
      <w:marLeft w:val="0"/>
      <w:marRight w:val="0"/>
      <w:marTop w:val="0"/>
      <w:marBottom w:val="0"/>
      <w:divBdr>
        <w:top w:val="none" w:sz="0" w:space="0" w:color="auto"/>
        <w:left w:val="none" w:sz="0" w:space="0" w:color="auto"/>
        <w:bottom w:val="none" w:sz="0" w:space="0" w:color="auto"/>
        <w:right w:val="none" w:sz="0" w:space="0" w:color="auto"/>
      </w:divBdr>
    </w:div>
    <w:div w:id="1573464022">
      <w:bodyDiv w:val="1"/>
      <w:marLeft w:val="0"/>
      <w:marRight w:val="0"/>
      <w:marTop w:val="0"/>
      <w:marBottom w:val="0"/>
      <w:divBdr>
        <w:top w:val="none" w:sz="0" w:space="0" w:color="auto"/>
        <w:left w:val="none" w:sz="0" w:space="0" w:color="auto"/>
        <w:bottom w:val="none" w:sz="0" w:space="0" w:color="auto"/>
        <w:right w:val="none" w:sz="0" w:space="0" w:color="auto"/>
      </w:divBdr>
    </w:div>
    <w:div w:id="1628195081">
      <w:bodyDiv w:val="1"/>
      <w:marLeft w:val="0"/>
      <w:marRight w:val="0"/>
      <w:marTop w:val="0"/>
      <w:marBottom w:val="0"/>
      <w:divBdr>
        <w:top w:val="none" w:sz="0" w:space="0" w:color="auto"/>
        <w:left w:val="none" w:sz="0" w:space="0" w:color="auto"/>
        <w:bottom w:val="none" w:sz="0" w:space="0" w:color="auto"/>
        <w:right w:val="none" w:sz="0" w:space="0" w:color="auto"/>
      </w:divBdr>
    </w:div>
    <w:div w:id="1655328556">
      <w:bodyDiv w:val="1"/>
      <w:marLeft w:val="0"/>
      <w:marRight w:val="0"/>
      <w:marTop w:val="0"/>
      <w:marBottom w:val="0"/>
      <w:divBdr>
        <w:top w:val="none" w:sz="0" w:space="0" w:color="auto"/>
        <w:left w:val="none" w:sz="0" w:space="0" w:color="auto"/>
        <w:bottom w:val="none" w:sz="0" w:space="0" w:color="auto"/>
        <w:right w:val="none" w:sz="0" w:space="0" w:color="auto"/>
      </w:divBdr>
    </w:div>
    <w:div w:id="1736002291">
      <w:bodyDiv w:val="1"/>
      <w:marLeft w:val="0"/>
      <w:marRight w:val="0"/>
      <w:marTop w:val="0"/>
      <w:marBottom w:val="0"/>
      <w:divBdr>
        <w:top w:val="none" w:sz="0" w:space="0" w:color="auto"/>
        <w:left w:val="none" w:sz="0" w:space="0" w:color="auto"/>
        <w:bottom w:val="none" w:sz="0" w:space="0" w:color="auto"/>
        <w:right w:val="none" w:sz="0" w:space="0" w:color="auto"/>
      </w:divBdr>
    </w:div>
    <w:div w:id="1748266848">
      <w:bodyDiv w:val="1"/>
      <w:marLeft w:val="0"/>
      <w:marRight w:val="0"/>
      <w:marTop w:val="0"/>
      <w:marBottom w:val="0"/>
      <w:divBdr>
        <w:top w:val="none" w:sz="0" w:space="0" w:color="auto"/>
        <w:left w:val="none" w:sz="0" w:space="0" w:color="auto"/>
        <w:bottom w:val="none" w:sz="0" w:space="0" w:color="auto"/>
        <w:right w:val="none" w:sz="0" w:space="0" w:color="auto"/>
      </w:divBdr>
      <w:divsChild>
        <w:div w:id="1270892552">
          <w:marLeft w:val="0"/>
          <w:marRight w:val="0"/>
          <w:marTop w:val="0"/>
          <w:marBottom w:val="0"/>
          <w:divBdr>
            <w:top w:val="none" w:sz="0" w:space="0" w:color="auto"/>
            <w:left w:val="none" w:sz="0" w:space="0" w:color="auto"/>
            <w:bottom w:val="none" w:sz="0" w:space="0" w:color="auto"/>
            <w:right w:val="none" w:sz="0" w:space="0" w:color="auto"/>
          </w:divBdr>
        </w:div>
      </w:divsChild>
    </w:div>
    <w:div w:id="1773433009">
      <w:bodyDiv w:val="1"/>
      <w:marLeft w:val="0"/>
      <w:marRight w:val="0"/>
      <w:marTop w:val="0"/>
      <w:marBottom w:val="0"/>
      <w:divBdr>
        <w:top w:val="none" w:sz="0" w:space="0" w:color="auto"/>
        <w:left w:val="none" w:sz="0" w:space="0" w:color="auto"/>
        <w:bottom w:val="none" w:sz="0" w:space="0" w:color="auto"/>
        <w:right w:val="none" w:sz="0" w:space="0" w:color="auto"/>
      </w:divBdr>
    </w:div>
    <w:div w:id="1784879432">
      <w:bodyDiv w:val="1"/>
      <w:marLeft w:val="0"/>
      <w:marRight w:val="0"/>
      <w:marTop w:val="0"/>
      <w:marBottom w:val="0"/>
      <w:divBdr>
        <w:top w:val="none" w:sz="0" w:space="0" w:color="auto"/>
        <w:left w:val="none" w:sz="0" w:space="0" w:color="auto"/>
        <w:bottom w:val="none" w:sz="0" w:space="0" w:color="auto"/>
        <w:right w:val="none" w:sz="0" w:space="0" w:color="auto"/>
      </w:divBdr>
    </w:div>
    <w:div w:id="1788549217">
      <w:bodyDiv w:val="1"/>
      <w:marLeft w:val="0"/>
      <w:marRight w:val="0"/>
      <w:marTop w:val="0"/>
      <w:marBottom w:val="0"/>
      <w:divBdr>
        <w:top w:val="none" w:sz="0" w:space="0" w:color="auto"/>
        <w:left w:val="none" w:sz="0" w:space="0" w:color="auto"/>
        <w:bottom w:val="none" w:sz="0" w:space="0" w:color="auto"/>
        <w:right w:val="none" w:sz="0" w:space="0" w:color="auto"/>
      </w:divBdr>
    </w:div>
    <w:div w:id="1865632971">
      <w:bodyDiv w:val="1"/>
      <w:marLeft w:val="0"/>
      <w:marRight w:val="0"/>
      <w:marTop w:val="0"/>
      <w:marBottom w:val="0"/>
      <w:divBdr>
        <w:top w:val="none" w:sz="0" w:space="0" w:color="auto"/>
        <w:left w:val="none" w:sz="0" w:space="0" w:color="auto"/>
        <w:bottom w:val="none" w:sz="0" w:space="0" w:color="auto"/>
        <w:right w:val="none" w:sz="0" w:space="0" w:color="auto"/>
      </w:divBdr>
    </w:div>
    <w:div w:id="1950818227">
      <w:bodyDiv w:val="1"/>
      <w:marLeft w:val="0"/>
      <w:marRight w:val="0"/>
      <w:marTop w:val="0"/>
      <w:marBottom w:val="0"/>
      <w:divBdr>
        <w:top w:val="none" w:sz="0" w:space="0" w:color="auto"/>
        <w:left w:val="none" w:sz="0" w:space="0" w:color="auto"/>
        <w:bottom w:val="none" w:sz="0" w:space="0" w:color="auto"/>
        <w:right w:val="none" w:sz="0" w:space="0" w:color="auto"/>
      </w:divBdr>
    </w:div>
    <w:div w:id="1975940454">
      <w:bodyDiv w:val="1"/>
      <w:marLeft w:val="0"/>
      <w:marRight w:val="0"/>
      <w:marTop w:val="0"/>
      <w:marBottom w:val="0"/>
      <w:divBdr>
        <w:top w:val="none" w:sz="0" w:space="0" w:color="auto"/>
        <w:left w:val="none" w:sz="0" w:space="0" w:color="auto"/>
        <w:bottom w:val="none" w:sz="0" w:space="0" w:color="auto"/>
        <w:right w:val="none" w:sz="0" w:space="0" w:color="auto"/>
      </w:divBdr>
    </w:div>
    <w:div w:id="1989820121">
      <w:bodyDiv w:val="1"/>
      <w:marLeft w:val="0"/>
      <w:marRight w:val="0"/>
      <w:marTop w:val="0"/>
      <w:marBottom w:val="0"/>
      <w:divBdr>
        <w:top w:val="none" w:sz="0" w:space="0" w:color="auto"/>
        <w:left w:val="none" w:sz="0" w:space="0" w:color="auto"/>
        <w:bottom w:val="none" w:sz="0" w:space="0" w:color="auto"/>
        <w:right w:val="none" w:sz="0" w:space="0" w:color="auto"/>
      </w:divBdr>
    </w:div>
    <w:div w:id="1999535129">
      <w:bodyDiv w:val="1"/>
      <w:marLeft w:val="0"/>
      <w:marRight w:val="0"/>
      <w:marTop w:val="0"/>
      <w:marBottom w:val="0"/>
      <w:divBdr>
        <w:top w:val="none" w:sz="0" w:space="0" w:color="auto"/>
        <w:left w:val="none" w:sz="0" w:space="0" w:color="auto"/>
        <w:bottom w:val="none" w:sz="0" w:space="0" w:color="auto"/>
        <w:right w:val="none" w:sz="0" w:space="0" w:color="auto"/>
      </w:divBdr>
    </w:div>
    <w:div w:id="2030793472">
      <w:bodyDiv w:val="1"/>
      <w:marLeft w:val="0"/>
      <w:marRight w:val="0"/>
      <w:marTop w:val="0"/>
      <w:marBottom w:val="0"/>
      <w:divBdr>
        <w:top w:val="none" w:sz="0" w:space="0" w:color="auto"/>
        <w:left w:val="none" w:sz="0" w:space="0" w:color="auto"/>
        <w:bottom w:val="none" w:sz="0" w:space="0" w:color="auto"/>
        <w:right w:val="none" w:sz="0" w:space="0" w:color="auto"/>
      </w:divBdr>
    </w:div>
    <w:div w:id="2088577704">
      <w:bodyDiv w:val="1"/>
      <w:marLeft w:val="0"/>
      <w:marRight w:val="0"/>
      <w:marTop w:val="0"/>
      <w:marBottom w:val="0"/>
      <w:divBdr>
        <w:top w:val="none" w:sz="0" w:space="0" w:color="auto"/>
        <w:left w:val="none" w:sz="0" w:space="0" w:color="auto"/>
        <w:bottom w:val="none" w:sz="0" w:space="0" w:color="auto"/>
        <w:right w:val="none" w:sz="0" w:space="0" w:color="auto"/>
      </w:divBdr>
    </w:div>
    <w:div w:id="2129469203">
      <w:bodyDiv w:val="1"/>
      <w:marLeft w:val="0"/>
      <w:marRight w:val="0"/>
      <w:marTop w:val="0"/>
      <w:marBottom w:val="0"/>
      <w:divBdr>
        <w:top w:val="none" w:sz="0" w:space="0" w:color="auto"/>
        <w:left w:val="none" w:sz="0" w:space="0" w:color="auto"/>
        <w:bottom w:val="none" w:sz="0" w:space="0" w:color="auto"/>
        <w:right w:val="none" w:sz="0" w:space="0" w:color="auto"/>
      </w:divBdr>
    </w:div>
    <w:div w:id="213925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image" Target="media/image14.svg"/><Relationship Id="rId21" Type="http://schemas.openxmlformats.org/officeDocument/2006/relationships/header" Target="header6.xml"/><Relationship Id="rId34" Type="http://schemas.openxmlformats.org/officeDocument/2006/relationships/chart" Target="charts/chart1.xml"/><Relationship Id="rId42" Type="http://schemas.openxmlformats.org/officeDocument/2006/relationships/image" Target="media/image17.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image" Target="media/image6.png"/><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image" Target="media/image12.svg"/><Relationship Id="rId40" Type="http://schemas.openxmlformats.org/officeDocument/2006/relationships/image" Target="media/image15.png"/><Relationship Id="rId45" Type="http://schemas.openxmlformats.org/officeDocument/2006/relationships/image" Target="media/image20.sv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image" Target="media/image5.svg"/><Relationship Id="rId36"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cificam.co.uk" TargetMode="External"/><Relationship Id="rId31" Type="http://schemas.openxmlformats.org/officeDocument/2006/relationships/image" Target="media/image8.png"/><Relationship Id="rId44" Type="http://schemas.openxmlformats.org/officeDocument/2006/relationships/image" Target="media/image19.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svg"/><Relationship Id="rId35" Type="http://schemas.openxmlformats.org/officeDocument/2006/relationships/chart" Target="charts/chart2.xml"/><Relationship Id="rId43" Type="http://schemas.openxmlformats.org/officeDocument/2006/relationships/image" Target="media/image18.svg"/><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svg"/><Relationship Id="rId33" Type="http://schemas.openxmlformats.org/officeDocument/2006/relationships/image" Target="media/image10.svg"/><Relationship Id="rId38" Type="http://schemas.openxmlformats.org/officeDocument/2006/relationships/image" Target="media/image13.png"/><Relationship Id="rId46" Type="http://schemas.openxmlformats.org/officeDocument/2006/relationships/hyperlink" Target="http://www.pacificam.co.uk" TargetMode="External"/><Relationship Id="rId20" Type="http://schemas.openxmlformats.org/officeDocument/2006/relationships/header" Target="header5.xml"/><Relationship Id="rId41" Type="http://schemas.openxmlformats.org/officeDocument/2006/relationships/image" Target="media/image16.svg"/><Relationship Id="rId1" Type="http://schemas.microsoft.com/office/2006/relationships/keyMapCustomizations" Target="customizations.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2"/>
                </a:solidFill>
                <a:latin typeface="+mn-lt"/>
                <a:ea typeface="+mn-ea"/>
                <a:cs typeface="+mn-cs"/>
              </a:defRPr>
            </a:pPr>
            <a:r>
              <a:rPr lang="en-US" sz="800">
                <a:solidFill>
                  <a:schemeClr val="tx2"/>
                </a:solidFill>
              </a:rPr>
              <a:t>1. Taxonomy-alignment</a:t>
            </a:r>
            <a:r>
              <a:rPr lang="en-US" sz="800" baseline="0">
                <a:solidFill>
                  <a:schemeClr val="tx2"/>
                </a:solidFill>
              </a:rPr>
              <a:t> of </a:t>
            </a:r>
            <a:r>
              <a:rPr lang="en-US" sz="800">
                <a:solidFill>
                  <a:schemeClr val="tx2"/>
                </a:solidFill>
              </a:rPr>
              <a:t>investments </a:t>
            </a:r>
            <a:r>
              <a:rPr lang="en-US" sz="800" b="1">
                <a:solidFill>
                  <a:schemeClr val="tx2"/>
                </a:solidFill>
              </a:rPr>
              <a:t>including sovereign</a:t>
            </a:r>
            <a:r>
              <a:rPr lang="en-US" sz="800" b="1" baseline="0">
                <a:solidFill>
                  <a:schemeClr val="tx2"/>
                </a:solidFill>
              </a:rPr>
              <a:t> bonds*</a:t>
            </a:r>
            <a:endParaRPr lang="en-US" sz="1100" b="1">
              <a:solidFill>
                <a:schemeClr val="tx2"/>
              </a:solidFill>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2"/>
              </a:solidFill>
              <a:latin typeface="+mn-lt"/>
              <a:ea typeface="+mn-ea"/>
              <a:cs typeface="+mn-cs"/>
            </a:defRPr>
          </a:pPr>
          <a:endParaRPr lang="en-US"/>
        </a:p>
      </c:txPr>
    </c:title>
    <c:autoTitleDeleted val="0"/>
    <c:plotArea>
      <c:layout>
        <c:manualLayout>
          <c:layoutTarget val="inner"/>
          <c:xMode val="edge"/>
          <c:yMode val="edge"/>
          <c:x val="0.48122242698386108"/>
          <c:y val="0.34397775486977777"/>
          <c:w val="0.38218135528386804"/>
          <c:h val="0.5040886433313484"/>
        </c:manualLayout>
      </c:layout>
      <c:pieChart>
        <c:varyColors val="1"/>
        <c:ser>
          <c:idx val="0"/>
          <c:order val="0"/>
          <c:tx>
            <c:strRef>
              <c:f>Sheet1!$B$1</c:f>
              <c:strCache>
                <c:ptCount val="1"/>
                <c:pt idx="0">
                  <c:v>Taxonomy-aligned investments </c:v>
                </c:pt>
              </c:strCache>
            </c:strRef>
          </c:tx>
          <c:spPr>
            <a:solidFill>
              <a:srgbClr val="164210"/>
            </a:solidFill>
            <a:ln>
              <a:noFill/>
            </a:ln>
          </c:spPr>
          <c:dPt>
            <c:idx val="0"/>
            <c:bubble3D val="0"/>
            <c:spPr>
              <a:solidFill>
                <a:srgbClr val="164210">
                  <a:alpha val="54902"/>
                </a:srgbClr>
              </a:solidFill>
              <a:ln w="19050">
                <a:noFill/>
              </a:ln>
              <a:effectLst/>
            </c:spPr>
            <c:extLst>
              <c:ext xmlns:c16="http://schemas.microsoft.com/office/drawing/2014/chart" uri="{C3380CC4-5D6E-409C-BE32-E72D297353CC}">
                <c16:uniqueId val="{00000001-AE16-471A-98EC-D06CB53E1840}"/>
              </c:ext>
            </c:extLst>
          </c:dPt>
          <c:dPt>
            <c:idx val="1"/>
            <c:bubble3D val="0"/>
            <c:spPr>
              <a:solidFill>
                <a:srgbClr val="164210">
                  <a:alpha val="81961"/>
                </a:srgbClr>
              </a:solidFill>
              <a:ln w="19050">
                <a:noFill/>
              </a:ln>
              <a:effectLst/>
            </c:spPr>
            <c:extLst>
              <c:ext xmlns:c16="http://schemas.microsoft.com/office/drawing/2014/chart" uri="{C3380CC4-5D6E-409C-BE32-E72D297353CC}">
                <c16:uniqueId val="{00000003-AE16-471A-98EC-D06CB53E1840}"/>
              </c:ext>
            </c:extLst>
          </c:dPt>
          <c:dPt>
            <c:idx val="2"/>
            <c:bubble3D val="0"/>
            <c:spPr>
              <a:solidFill>
                <a:srgbClr val="164210"/>
              </a:solidFill>
              <a:ln w="19050">
                <a:noFill/>
              </a:ln>
              <a:effectLst/>
            </c:spPr>
            <c:extLst>
              <c:ext xmlns:c16="http://schemas.microsoft.com/office/drawing/2014/chart" uri="{C3380CC4-5D6E-409C-BE32-E72D297353CC}">
                <c16:uniqueId val="{00000005-AE16-471A-98EC-D06CB53E1840}"/>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AE16-471A-98EC-D06CB53E1840}"/>
              </c:ext>
            </c:extLst>
          </c:dPt>
          <c:dLbls>
            <c:dLbl>
              <c:idx val="0"/>
              <c:delete val="1"/>
              <c:extLst>
                <c:ext xmlns:c15="http://schemas.microsoft.com/office/drawing/2012/chart" uri="{CE6537A1-D6FC-4f65-9D91-7224C49458BB}"/>
                <c:ext xmlns:c16="http://schemas.microsoft.com/office/drawing/2014/chart" uri="{C3380CC4-5D6E-409C-BE32-E72D297353CC}">
                  <c16:uniqueId val="{00000001-AE16-471A-98EC-D06CB53E1840}"/>
                </c:ext>
              </c:extLst>
            </c:dLbl>
            <c:dLbl>
              <c:idx val="1"/>
              <c:delete val="1"/>
              <c:extLst>
                <c:ext xmlns:c15="http://schemas.microsoft.com/office/drawing/2012/chart" uri="{CE6537A1-D6FC-4f65-9D91-7224C49458BB}"/>
                <c:ext xmlns:c16="http://schemas.microsoft.com/office/drawing/2014/chart" uri="{C3380CC4-5D6E-409C-BE32-E72D297353CC}">
                  <c16:uniqueId val="{00000003-AE16-471A-98EC-D06CB53E1840}"/>
                </c:ext>
              </c:extLst>
            </c:dLbl>
            <c:dLbl>
              <c:idx val="2"/>
              <c:delete val="1"/>
              <c:extLst>
                <c:ext xmlns:c15="http://schemas.microsoft.com/office/drawing/2012/chart" uri="{CE6537A1-D6FC-4f65-9D91-7224C49458BB}"/>
                <c:ext xmlns:c16="http://schemas.microsoft.com/office/drawing/2014/chart" uri="{C3380CC4-5D6E-409C-BE32-E72D297353CC}">
                  <c16:uniqueId val="{00000005-AE16-471A-98EC-D06CB53E1840}"/>
                </c:ext>
              </c:extLst>
            </c:dLbl>
            <c:dLbl>
              <c:idx val="3"/>
              <c:layout>
                <c:manualLayout>
                  <c:x val="0.13804088133793468"/>
                  <c:y val="-5.602240896358549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E16-471A-98EC-D06CB53E1840}"/>
                </c:ext>
              </c:extLst>
            </c:dLbl>
            <c:numFmt formatCode="\x\%"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Taxonomy-aligned: Fossil gas</c:v>
                </c:pt>
                <c:pt idx="1">
                  <c:v>Taxonomy-aligned: Nuclear</c:v>
                </c:pt>
                <c:pt idx="2">
                  <c:v>Taxonomy-aligned (no fossil gas &amp; nuclear)</c:v>
                </c:pt>
                <c:pt idx="3">
                  <c:v>Non Taxonomy-aligned</c:v>
                </c:pt>
              </c:strCache>
            </c:strRef>
          </c:cat>
          <c:val>
            <c:numRef>
              <c:f>Sheet1!$B$2:$B$5</c:f>
              <c:numCache>
                <c:formatCode>General</c:formatCode>
                <c:ptCount val="4"/>
                <c:pt idx="0">
                  <c:v>0</c:v>
                </c:pt>
                <c:pt idx="1">
                  <c:v>0</c:v>
                </c:pt>
                <c:pt idx="2">
                  <c:v>0</c:v>
                </c:pt>
                <c:pt idx="3">
                  <c:v>100</c:v>
                </c:pt>
              </c:numCache>
            </c:numRef>
          </c:val>
          <c:extLst>
            <c:ext xmlns:c16="http://schemas.microsoft.com/office/drawing/2014/chart" uri="{C3380CC4-5D6E-409C-BE32-E72D297353CC}">
              <c16:uniqueId val="{00000008-AE16-471A-98EC-D06CB53E1840}"/>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0"/>
          <c:y val="0.20923542645404619"/>
          <c:w val="0.46979383749051545"/>
          <c:h val="0.7406242969628796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2"/>
                </a:solidFill>
                <a:latin typeface="+mn-lt"/>
                <a:ea typeface="+mn-ea"/>
                <a:cs typeface="+mn-cs"/>
              </a:defRPr>
            </a:pPr>
            <a:r>
              <a:rPr lang="en-US" sz="800">
                <a:solidFill>
                  <a:schemeClr val="tx2"/>
                </a:solidFill>
              </a:rPr>
              <a:t>2. Taxonomy-alignment</a:t>
            </a:r>
            <a:r>
              <a:rPr lang="en-US" sz="800" baseline="0">
                <a:solidFill>
                  <a:schemeClr val="tx2"/>
                </a:solidFill>
              </a:rPr>
              <a:t> of </a:t>
            </a:r>
            <a:r>
              <a:rPr lang="en-US" sz="800">
                <a:solidFill>
                  <a:schemeClr val="tx2"/>
                </a:solidFill>
              </a:rPr>
              <a:t>investments </a:t>
            </a:r>
            <a:r>
              <a:rPr lang="en-US" sz="800" b="1">
                <a:solidFill>
                  <a:schemeClr val="tx2"/>
                </a:solidFill>
              </a:rPr>
              <a:t>excluding sovereign</a:t>
            </a:r>
            <a:r>
              <a:rPr lang="en-US" sz="800" b="1" baseline="0">
                <a:solidFill>
                  <a:schemeClr val="tx2"/>
                </a:solidFill>
              </a:rPr>
              <a:t> bonds*</a:t>
            </a:r>
            <a:endParaRPr lang="en-US" sz="1100" b="1">
              <a:solidFill>
                <a:schemeClr val="tx2"/>
              </a:solidFill>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2"/>
              </a:solidFill>
              <a:latin typeface="+mn-lt"/>
              <a:ea typeface="+mn-ea"/>
              <a:cs typeface="+mn-cs"/>
            </a:defRPr>
          </a:pPr>
          <a:endParaRPr lang="en-US"/>
        </a:p>
      </c:txPr>
    </c:title>
    <c:autoTitleDeleted val="0"/>
    <c:plotArea>
      <c:layout>
        <c:manualLayout>
          <c:layoutTarget val="inner"/>
          <c:xMode val="edge"/>
          <c:yMode val="edge"/>
          <c:x val="0.47313561773575485"/>
          <c:y val="0.33746266418539711"/>
          <c:w val="0.36161347974432234"/>
          <c:h val="0.53362494188783405"/>
        </c:manualLayout>
      </c:layout>
      <c:pieChart>
        <c:varyColors val="1"/>
        <c:ser>
          <c:idx val="0"/>
          <c:order val="0"/>
          <c:tx>
            <c:strRef>
              <c:f>Sheet1!$B$1</c:f>
              <c:strCache>
                <c:ptCount val="1"/>
                <c:pt idx="0">
                  <c:v>Taxonomy-aligned investments </c:v>
                </c:pt>
              </c:strCache>
            </c:strRef>
          </c:tx>
          <c:spPr>
            <a:solidFill>
              <a:srgbClr val="164210"/>
            </a:solidFill>
          </c:spPr>
          <c:dPt>
            <c:idx val="0"/>
            <c:bubble3D val="0"/>
            <c:spPr>
              <a:solidFill>
                <a:srgbClr val="164210">
                  <a:alpha val="54902"/>
                </a:srgbClr>
              </a:solidFill>
              <a:ln w="19050">
                <a:noFill/>
              </a:ln>
              <a:effectLst/>
            </c:spPr>
            <c:extLst>
              <c:ext xmlns:c16="http://schemas.microsoft.com/office/drawing/2014/chart" uri="{C3380CC4-5D6E-409C-BE32-E72D297353CC}">
                <c16:uniqueId val="{00000001-F1D0-45B6-AAA4-68DE261CAC61}"/>
              </c:ext>
            </c:extLst>
          </c:dPt>
          <c:dPt>
            <c:idx val="1"/>
            <c:bubble3D val="0"/>
            <c:spPr>
              <a:solidFill>
                <a:srgbClr val="164210">
                  <a:alpha val="81961"/>
                </a:srgbClr>
              </a:solidFill>
              <a:ln w="19050">
                <a:noFill/>
              </a:ln>
              <a:effectLst/>
            </c:spPr>
            <c:extLst>
              <c:ext xmlns:c16="http://schemas.microsoft.com/office/drawing/2014/chart" uri="{C3380CC4-5D6E-409C-BE32-E72D297353CC}">
                <c16:uniqueId val="{00000003-F1D0-45B6-AAA4-68DE261CAC61}"/>
              </c:ext>
            </c:extLst>
          </c:dPt>
          <c:dPt>
            <c:idx val="2"/>
            <c:bubble3D val="0"/>
            <c:spPr>
              <a:solidFill>
                <a:srgbClr val="164210"/>
              </a:solidFill>
              <a:ln w="19050">
                <a:noFill/>
              </a:ln>
              <a:effectLst/>
            </c:spPr>
            <c:extLst>
              <c:ext xmlns:c16="http://schemas.microsoft.com/office/drawing/2014/chart" uri="{C3380CC4-5D6E-409C-BE32-E72D297353CC}">
                <c16:uniqueId val="{00000005-F1D0-45B6-AAA4-68DE261CAC61}"/>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F1D0-45B6-AAA4-68DE261CAC61}"/>
              </c:ext>
            </c:extLst>
          </c:dPt>
          <c:dLbls>
            <c:dLbl>
              <c:idx val="0"/>
              <c:delete val="1"/>
              <c:extLst>
                <c:ext xmlns:c15="http://schemas.microsoft.com/office/drawing/2012/chart" uri="{CE6537A1-D6FC-4f65-9D91-7224C49458BB}"/>
                <c:ext xmlns:c16="http://schemas.microsoft.com/office/drawing/2014/chart" uri="{C3380CC4-5D6E-409C-BE32-E72D297353CC}">
                  <c16:uniqueId val="{00000001-F1D0-45B6-AAA4-68DE261CAC61}"/>
                </c:ext>
              </c:extLst>
            </c:dLbl>
            <c:dLbl>
              <c:idx val="1"/>
              <c:delete val="1"/>
              <c:extLst>
                <c:ext xmlns:c15="http://schemas.microsoft.com/office/drawing/2012/chart" uri="{CE6537A1-D6FC-4f65-9D91-7224C49458BB}"/>
                <c:ext xmlns:c16="http://schemas.microsoft.com/office/drawing/2014/chart" uri="{C3380CC4-5D6E-409C-BE32-E72D297353CC}">
                  <c16:uniqueId val="{00000003-F1D0-45B6-AAA4-68DE261CAC61}"/>
                </c:ext>
              </c:extLst>
            </c:dLbl>
            <c:dLbl>
              <c:idx val="2"/>
              <c:delete val="1"/>
              <c:extLst>
                <c:ext xmlns:c15="http://schemas.microsoft.com/office/drawing/2012/chart" uri="{CE6537A1-D6FC-4f65-9D91-7224C49458BB}"/>
                <c:ext xmlns:c16="http://schemas.microsoft.com/office/drawing/2014/chart" uri="{C3380CC4-5D6E-409C-BE32-E72D297353CC}">
                  <c16:uniqueId val="{00000005-F1D0-45B6-AAA4-68DE261CAC61}"/>
                </c:ext>
              </c:extLst>
            </c:dLbl>
            <c:dLbl>
              <c:idx val="3"/>
              <c:layout>
                <c:manualLayout>
                  <c:x val="0.12581781580271767"/>
                  <c:y val="6.6839955440029644E-2"/>
                </c:manualLayout>
              </c:layout>
              <c:tx>
                <c:rich>
                  <a:bodyPr/>
                  <a:lstStyle/>
                  <a:p>
                    <a:r>
                      <a:rPr lang="en-US"/>
                      <a:t>100%</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1D0-45B6-AAA4-68DE261CAC61}"/>
                </c:ext>
              </c:extLst>
            </c:dLbl>
            <c:numFmt formatCode="\x\%"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Taxonomy-aligned: Fossil gas</c:v>
                </c:pt>
                <c:pt idx="1">
                  <c:v>Taxonomy-aligned: Nuclear</c:v>
                </c:pt>
                <c:pt idx="2">
                  <c:v>Taxonomy-aligned (no fossil gas &amp; nuclear)</c:v>
                </c:pt>
                <c:pt idx="3">
                  <c:v>Non-Taxonomy-aligned</c:v>
                </c:pt>
              </c:strCache>
            </c:strRef>
          </c:cat>
          <c:val>
            <c:numRef>
              <c:f>Sheet1!$B$2:$B$5</c:f>
              <c:numCache>
                <c:formatCode>General</c:formatCode>
                <c:ptCount val="4"/>
                <c:pt idx="0">
                  <c:v>0</c:v>
                </c:pt>
                <c:pt idx="1">
                  <c:v>0</c:v>
                </c:pt>
                <c:pt idx="2">
                  <c:v>0</c:v>
                </c:pt>
                <c:pt idx="3">
                  <c:v>100</c:v>
                </c:pt>
              </c:numCache>
            </c:numRef>
          </c:val>
          <c:extLst>
            <c:ext xmlns:c16="http://schemas.microsoft.com/office/drawing/2014/chart" uri="{C3380CC4-5D6E-409C-BE32-E72D297353CC}">
              <c16:uniqueId val="{00000008-F1D0-45B6-AAA4-68DE261CAC61}"/>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5.4420663446258944E-3"/>
          <c:y val="0.21287123072638428"/>
          <c:w val="0.47034702942245721"/>
          <c:h val="0.754496213451025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7CA4C4A8B4646BC5813DC86635DFF"/>
        <w:category>
          <w:name w:val="General"/>
          <w:gallery w:val="placeholder"/>
        </w:category>
        <w:types>
          <w:type w:val="bbPlcHdr"/>
        </w:types>
        <w:behaviors>
          <w:behavior w:val="content"/>
        </w:behaviors>
        <w:guid w:val="{AD610D6D-CFCF-4C25-A117-0CED2989D1EE}"/>
      </w:docPartPr>
      <w:docPartBody>
        <w:p w:rsidR="00CC4238" w:rsidRDefault="00CC4238"/>
      </w:docPartBody>
    </w:docPart>
    <w:docPart>
      <w:docPartPr>
        <w:name w:val="E146749BDD494881BD20C482EB9A3449"/>
        <w:category>
          <w:name w:val="General"/>
          <w:gallery w:val="placeholder"/>
        </w:category>
        <w:types>
          <w:type w:val="bbPlcHdr"/>
        </w:types>
        <w:behaviors>
          <w:behavior w:val="content"/>
        </w:behaviors>
        <w:guid w:val="{3109B475-6F2D-4E98-A401-B4D14ADFB932}"/>
      </w:docPartPr>
      <w:docPartBody>
        <w:p w:rsidR="00CC4238" w:rsidRDefault="00CC42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E0"/>
    <w:rsid w:val="00052C48"/>
    <w:rsid w:val="000F2170"/>
    <w:rsid w:val="00101770"/>
    <w:rsid w:val="001735C9"/>
    <w:rsid w:val="001D4A69"/>
    <w:rsid w:val="00261875"/>
    <w:rsid w:val="002A3050"/>
    <w:rsid w:val="002B451F"/>
    <w:rsid w:val="00382EBB"/>
    <w:rsid w:val="003E4512"/>
    <w:rsid w:val="00494DAD"/>
    <w:rsid w:val="00516838"/>
    <w:rsid w:val="005402E6"/>
    <w:rsid w:val="00573175"/>
    <w:rsid w:val="005813AA"/>
    <w:rsid w:val="005A2D44"/>
    <w:rsid w:val="00627DCD"/>
    <w:rsid w:val="00631A43"/>
    <w:rsid w:val="00664C96"/>
    <w:rsid w:val="006A5337"/>
    <w:rsid w:val="0075714A"/>
    <w:rsid w:val="007603C4"/>
    <w:rsid w:val="007D4B01"/>
    <w:rsid w:val="009942EC"/>
    <w:rsid w:val="009E7C88"/>
    <w:rsid w:val="00A22413"/>
    <w:rsid w:val="00AE06E0"/>
    <w:rsid w:val="00B3601B"/>
    <w:rsid w:val="00B45CDF"/>
    <w:rsid w:val="00B812A0"/>
    <w:rsid w:val="00BA696E"/>
    <w:rsid w:val="00BD7E22"/>
    <w:rsid w:val="00C632C5"/>
    <w:rsid w:val="00C81E8C"/>
    <w:rsid w:val="00C86755"/>
    <w:rsid w:val="00CC4238"/>
    <w:rsid w:val="00D4284D"/>
    <w:rsid w:val="00D53265"/>
    <w:rsid w:val="00DA2520"/>
    <w:rsid w:val="00DB26DE"/>
    <w:rsid w:val="00E31A56"/>
    <w:rsid w:val="00E62ADD"/>
    <w:rsid w:val="00EA1A8C"/>
    <w:rsid w:val="00ED502D"/>
    <w:rsid w:val="00EE3E5E"/>
    <w:rsid w:val="00F14487"/>
    <w:rsid w:val="00F66919"/>
    <w:rsid w:val="00FB4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AE06E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4 7 2 f a 8 7 5 - 2 e a 7 - 4 5 e 7 - b a 4 e - b 4 d c 3 f f d 6 6 f 1 "   d o c u m e n t I d = " a c 0 d e 5 d c - 7 6 d b - 4 c 3 2 - a 3 f 4 - 1 d 5 2 5 f 1 c 6 8 1 e "   t e m p l a t e F u l l N a m e = " C : \ P r o g r a m D a t a \ I p h e l i o n \ U s e r T e m p l a t e s \ N o r m a l . d o t m "   v e r s i o n = " 0 "   s c h e m a V e r s i o n = " 1 "   l a n g u a g e I s o = " e n - I E "   o f f i c e I d = " d 9 8 f 6 c 7 9 - 9 1 6 4 - 4 b 4 4 - 9 4 d 0 - c 2 1 c 2 8 3 d 4 3 3 2 "   i m p o r t D a t a = " f a l s e "   w i z a r d H e i g h t = " 0 "   w i z a r d W i d t h = " 0 "   w i z a r d P a n e l W i d t h = " 0 "   h i d e W i z a r d I f V a l i d = " f a l s e "   h i d e A u t h o r = " f a l s e "   w i z a r d T a b P o s i t i o n = " n o n e "   x m l n s = " h t t p : / / i p h e l i o n . c o m / w o r d / o u t l i n e / " >  
     < a u t h o r >  
         < l o c a l i z e d P r o f i l e s / >  
         < f r o m S e a r c h C o n t a c t > t r u e < / f r o m S e a r c h C o n t a c t >  
         < i d > 9 1 9 b 8 9 9 d - b 7 c 6 - 4 f 4 f - a 5 7 d - d b 1 2 d 3 a b 9 3 1 a < / i d >  
         < n a m e > _ S e l e c t   A u t h o r < / n a m e >  
         < i n i t i a l s / >  
         < p r i m a r y O f f i c e > D u b l i n < / p r i m a r y O f f i c e >  
         < p r i m a r y O f f i c e I d > 2 0 1 1 9 a 6 a - 3 9 9 6 - 4 5 c d - 8 0 5 f - 6 3 1 e 2 e 6 c 6 4 2 d < / p r i m a r y O f f i c e I d >  
         < p r i m a r y L a n g u a g e I s o > e n - I E < / p r i m a r y L a n g u a g e I s o >  
         < p h o n e N u m b e r F o r m a t > + 3 5 3   1   2 3 2   X X X X < / p h o n e N u m b e r F o r m a t >  
         < f a x N u m b e r F o r m a t > + 3 5 3   1   2 3 2   X X X X < / f a x N u m b e r F o r m a t >  
         < j o b D e s c r i p t i o n / >  
         < d e p a r t m e n t / >  
         < e m a i l / >  
         < r a w D i r e c t L i n e > + 3 5 3   1   2 3 2   2 0 0 0 < / r a w D i r e c t L i n e >  
         < r a w D i r e c t F a x > + 3 5 3   1   2 3 2   3 3 3 3 < / r a w D i r e c t F a x >  
         < m o b i l e / >  
         < l o g i n / >  
         < e m p l y e e I d > 0 < / e m p l y e e I d >  
         < b a r R e g i s t r a t i o n s / >  
     < / a u t h o r >  
     < c o n t e n t C o n t r o l s >  
         < c o n t e n t C o n t r o l   i d = " 5 e 1 d 6 7 1 8 - 4 7 6 b - 4 e 6 8 - a 9 3 1 - a 5 7 d f d 3 0 9 4 9 4 "   n a m e = " D o c I d "   a s s e m b l y = " I p h e l i o n . O u t l i n e . W o r d . d l l "   t y p e = " I p h e l i o n . O u t l i n e . W o r d . R e n d e r e r s . T e x t R e n d e r e r "   o r d e r = " 3 "   a c t i v e = " t r u e "   e n t i t y I d = " 4 3 4 d e d f 3 - 5 5 0 a - 4 e 4 4 - a b 3 e - f b 5 b 8 8 9 4 9 e 4 8 " 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4 3 4 d e d f 3 - 5 5 0 a - 4 e 4 4 - a b 3 e - f b 5 b 8 8 9 4 9 e 4 8 " 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4 3 4 d e d f 3 - 5 5 0 a - 4 e 4 4 - a b 3 e - f b 5 b 8 8 9 4 9 e 4 8 "   l i n k e d E n t i t y I d = " 0 0 0 0 0 0 0 0 - 0 0 0 0 - 0 0 0 0 - 0 0 0 0 - 0 0 0 0 0 0 0 0 0 0 0 0 "   l i n k e d F i e l d I d = " 0 0 0 0 0 0 0 0 - 0 0 0 0 - 0 0 0 0 - 0 0 0 0 - 0 0 0 0 0 0 0 0 0 0 0 0 "   l i n k e d F i e l d I n d e x = " 0 "   i n d e x = " 0 "   f i e l d T y p e = " q u e s t i o n "   f o r m a t E v a l u a t o r T y p e = " f o r m a t S t r i n g "   c o i D o c u m e n t F i e l d = " C l i e n t "   h i d d e n = " f a l s e " > 6 6 5 3 5 9 < / f i e l d >  
         < f i e l d   i d = " d 1 a 0 c 0 3 d - 0 2 5 8 - 4 7 a c - b b 6 d - 4 5 8 a 7 8 e 5 6 4 7 4 "   n a m e = " C l i e n t N a m e "   t y p e = " "   o r d e r = " 9 9 9 "   e n t i t y I d = " 4 3 4 d e d f 3 - 5 5 0 a - 4 e 4 4 - a b 3 e - f b 5 b 8 8 9 4 9 e 4 8 "   l i n k e d E n t i t y I d = " 0 0 0 0 0 0 0 0 - 0 0 0 0 - 0 0 0 0 - 0 0 0 0 - 0 0 0 0 0 0 0 0 0 0 0 0 "   l i n k e d F i e l d I d = " 0 0 0 0 0 0 0 0 - 0 0 0 0 - 0 0 0 0 - 0 0 0 0 - 0 0 0 0 0 0 0 0 0 0 0 0 "   l i n k e d F i e l d I n d e x = " 0 "   i n d e x = " 0 "   f i e l d T y p e = " q u e s t i o n "   f o r m a t E v a l u a t o r T y p e = " f o r m a t S t r i n g "   c o i D o c u m e n t F i e l d = " C l i e n t N a m e "   h i d d e n = " f a l s e " > P a c i f i c   C a p i t a l   P a r t n e r s   L t d < / f i e l d >  
         < f i e l d   i d = " 3 6 2 d d c e b - 8 f c 2 - 4 e a d - b 5 3 5 - e d 9 e 8 3 5 9 8 3 8 4 "   n a m e = " M a t t e r "   t y p e = " "   o r d e r = " 9 9 9 "   e n t i t y I d = " 4 3 4 d e d f 3 - 5 5 0 a - 4 e 4 4 - a b 3 e - f b 5 b 8 8 9 4 9 e 4 8 "   l i n k e d E n t i t y I d = " 0 0 0 0 0 0 0 0 - 0 0 0 0 - 0 0 0 0 - 0 0 0 0 - 0 0 0 0 0 0 0 0 0 0 0 0 "   l i n k e d F i e l d I d = " 0 0 0 0 0 0 0 0 - 0 0 0 0 - 0 0 0 0 - 0 0 0 0 - 0 0 0 0 0 0 0 0 0 0 0 0 "   l i n k e d F i e l d I n d e x = " 0 "   i n d e x = " 0 "   f i e l d T y p e = " q u e s t i o n "   f o r m a t E v a l u a t o r T y p e = " f o r m a t S t r i n g "   c o i D o c u m e n t F i e l d = " M a t t e r "   h i d d e n = " f a l s e " > 1 0 < / f i e l d >  
         < f i e l d   i d = " a 3 e e f 5 1 4 - 2 4 7 f - 4 2 8 1 - b 6 a 2 - 3 b 4 d 3 4 b c 6 8 c f "   n a m e = " M a t t e r N a m e "   t y p e = " "   o r d e r = " 9 9 9 "   e n t i t y I d = " 4 3 4 d e d f 3 - 5 5 0 a - 4 e 4 4 - a b 3 e - f b 5 b 8 8 9 4 9 e 4 8 "   l i n k e d E n t i t y I d = " 0 0 0 0 0 0 0 0 - 0 0 0 0 - 0 0 0 0 - 0 0 0 0 - 0 0 0 0 0 0 0 0 0 0 0 0 "   l i n k e d F i e l d I d = " 0 0 0 0 0 0 0 0 - 0 0 0 0 - 0 0 0 0 - 0 0 0 0 - 0 0 0 0 0 0 0 0 0 0 0 0 "   l i n k e d F i e l d I n d e x = " 0 "   i n d e x = " 0 "   f i e l d T y p e = " q u e s t i o n "   f o r m a t E v a l u a t o r T y p e = " f o r m a t S t r i n g "   c o i D o c u m e n t F i e l d = " M a t t e r N a m e "   h i d d e n = " f a l s e " > P a c i f i c   C a p i t a l   U C I T S   p l c :   G e n e r a l   A d v i c e s < / f i e l d >  
         < f i e l d   i d = " 7 5 3 2 7 c a 1 - c 6 c b - 4 7 8 0 - 8 a 2 2 - 2 1 8 1 7 3 d 5 2 c 3 7 "   n a m e = " T y p i s t "   t y p e = " "   o r d e r = " 9 9 9 "   e n t i t y I d = " 4 3 4 d e d f 3 - 5 5 0 a - 4 e 4 4 - a b 3 e - f b 5 b 8 8 9 4 9 e 4 8 "   l i n k e d E n t i t y I d = " 0 0 0 0 0 0 0 0 - 0 0 0 0 - 0 0 0 0 - 0 0 0 0 - 0 0 0 0 0 0 0 0 0 0 0 0 "   l i n k e d F i e l d I d = " 0 0 0 0 0 0 0 0 - 0 0 0 0 - 0 0 0 0 - 0 0 0 0 - 0 0 0 0 0 0 0 0 0 0 0 0 "   l i n k e d F i e l d I n d e x = " 0 "   i n d e x = " 0 "   f i e l d T y p e = " q u e s t i o n "   f o r m a t E v a l u a t o r T y p e = " f o r m a t S t r i n g "   h i d d e n = " f a l s e " > R O C K A < / f i e l d >  
         < f i e l d   i d = " 9 a 9 2 6 9 a e - 1 d 5 b - 4 3 6 5 - 9 d a 1 - 6 3 7 c 5 f 3 3 0 a 8 f "   n a m e = " A u t h o r "   t y p e = " "   o r d e r = " 9 9 9 "   e n t i t y I d = " 4 3 4 d e d f 3 - 5 5 0 a - 4 e 4 4 - a b 3 e - f b 5 b 8 8 9 4 9 e 4 8 "   l i n k e d E n t i t y I d = " 0 0 0 0 0 0 0 0 - 0 0 0 0 - 0 0 0 0 - 0 0 0 0 - 0 0 0 0 0 0 0 0 0 0 0 0 "   l i n k e d F i e l d I d = " 0 0 0 0 0 0 0 0 - 0 0 0 0 - 0 0 0 0 - 0 0 0 0 - 0 0 0 0 0 0 0 0 0 0 0 0 "   l i n k e d F i e l d I n d e x = " 0 "   i n d e x = " 0 "   f i e l d T y p e = " q u e s t i o n "   f o r m a t E v a l u a t o r T y p e = " f o r m a t S t r i n g "   h i d d e n = " f a l s e " > S A L < / f i e l d >  
         < f i e l d   i d = " a 0 0 2 e 7 8 a - 8 e 1 8 - 4 3 7 5 - b e f 7 - 9 f 6 8 7 e 9 3 1 f 6 5 "   n a m e = " T i t l e "   t y p e = " "   o r d e r = " 9 9 9 "   e n t i t y I d = " 4 3 4 d e d f 3 - 5 5 0 a - 4 e 4 4 - a b 3 e - f b 5 b 8 8 9 4 9 e 4 8 "   l i n k e d E n t i t y I d = " 0 0 0 0 0 0 0 0 - 0 0 0 0 - 0 0 0 0 - 0 0 0 0 - 0 0 0 0 0 0 0 0 0 0 0 0 "   l i n k e d F i e l d I d = " 0 0 0 0 0 0 0 0 - 0 0 0 0 - 0 0 0 0 - 0 0 0 0 - 0 0 0 0 0 0 0 0 0 0 0 0 "   l i n k e d F i e l d I n d e x = " 0 "   i n d e x = " 0 "   f i e l d T y p e = " q u e s t i o n "   f o r m a t E v a l u a t o r T y p e = " f o r m a t S t r i n g "   h i d d e n = " f a l s e " > S u p p l e m e n t   -   P a c i f i c   A l l   C a p   O p p o r t u n i t i e s   F u n d   [ ]   2 0 2 5 < / f i e l d >  
         < f i e l d   i d = " 6 4 f f 0 0 3 6 - a 6 a f - 4 b 1 1 - a 4 e a - 4 0 2 a 2 f 2 7 3 e 2 1 "   n a m e = " D o c T y p e "   t y p e = " "   o r d e r = " 9 9 9 "   e n t i t y I d = " 4 3 4 d e d f 3 - 5 5 0 a - 4 e 4 4 - a b 3 e - f b 5 b 8 8 9 4 9 e 4 8 "   l i n k e d E n t i t y I d = " 0 0 0 0 0 0 0 0 - 0 0 0 0 - 0 0 0 0 - 0 0 0 0 - 0 0 0 0 0 0 0 0 0 0 0 0 "   l i n k e d F i e l d I d = " 0 0 0 0 0 0 0 0 - 0 0 0 0 - 0 0 0 0 - 0 0 0 0 - 0 0 0 0 0 0 0 0 0 0 0 0 "   l i n k e d F i e l d I n d e x = " 0 "   i n d e x = " 0 "   f i e l d T y p e = " q u e s t i o n "   f o r m a t E v a l u a t o r T y p e = " f o r m a t S t r i n g "   h i d d e n = " f a l s e " > D O C < / f i e l d >  
         < f i e l d   i d = " 7 a b e a 0 f 8 - 4 6 b 7 - 4 9 6 8 - b b 1 2 - 0 4 a 8 9 9 f 0 d 7 7 8 "   n a m e = " D o c S u b T y p e "   t y p e = " "   o r d e r = " 9 9 9 "   e n t i t y I d = " 4 3 4 d e d f 3 - 5 5 0 a - 4 e 4 4 - a b 3 e - f b 5 b 8 8 9 4 9 e 4 8 "   l i n k e d E n t i t y I d = " 0 0 0 0 0 0 0 0 - 0 0 0 0 - 0 0 0 0 - 0 0 0 0 - 0 0 0 0 0 0 0 0 0 0 0 0 "   l i n k e d F i e l d I d = " 0 0 0 0 0 0 0 0 - 0 0 0 0 - 0 0 0 0 - 0 0 0 0 - 0 0 0 0 0 0 0 0 0 0 0 0 "   l i n k e d F i e l d I n d e x = " 0 "   i n d e x = " 0 "   f i e l d T y p e = " q u e s t i o n "   f o r m a t E v a l u a t o r T y p e = " f o r m a t S t r i n g "   h i d d e n = " f a l s e " / >  
         < f i e l d   i d = " 0 1 a 5 9 1 9 e - 9 f 8 0 - 4 7 f 4 - 9 3 c 4 - a 9 7 8 7 8 0 8 8 c 9 c "   n a m e = " S e r v e r "   t y p e = " "   o r d e r = " 9 9 9 "   e n t i t y I d = " 4 3 4 d e d f 3 - 5 5 0 a - 4 e 4 4 - a b 3 e - f b 5 b 8 8 9 4 9 e 4 8 "   l i n k e d E n t i t y I d = " 0 0 0 0 0 0 0 0 - 0 0 0 0 - 0 0 0 0 - 0 0 0 0 - 0 0 0 0 0 0 0 0 0 0 0 0 "   l i n k e d F i e l d I d = " 0 0 0 0 0 0 0 0 - 0 0 0 0 - 0 0 0 0 - 0 0 0 0 - 0 0 0 0 0 0 0 0 0 0 0 0 "   l i n k e d F i e l d I n d e x = " 0 "   i n d e x = " 0 "   f i e l d T y p e = " q u e s t i o n "   f o r m a t E v a l u a t o r T y p e = " f o r m a t S t r i n g "   h i d d e n = " f a l s e " > i m a n a g e . m a t h e s o n . c o m < / f i e l d >  
         < f i e l d   i d = " 2 f e f 3 f 1 9 - 2 3 2 d - 4 1 4 2 - b 5 2 5 - 1 1 d 8 a 7 6 a 6 e 9 b "   n a m e = " L i b r a r y "   t y p e = " "   o r d e r = " 9 9 9 "   e n t i t y I d = " 4 3 4 d e d f 3 - 5 5 0 a - 4 e 4 4 - a b 3 e - f b 5 b 8 8 9 4 9 e 4 8 "   l i n k e d E n t i t y I d = " 0 0 0 0 0 0 0 0 - 0 0 0 0 - 0 0 0 0 - 0 0 0 0 - 0 0 0 0 0 0 0 0 0 0 0 0 "   l i n k e d F i e l d I d = " 0 0 0 0 0 0 0 0 - 0 0 0 0 - 0 0 0 0 - 0 0 0 0 - 0 0 0 0 0 0 0 0 0 0 0 0 "   l i n k e d F i e l d I n d e x = " 0 "   i n d e x = " 0 "   f i e l d T y p e = " q u e s t i o n "   f o r m a t E v a l u a t o r T y p e = " f o r m a t S t r i n g "   h i d d e n = " f a l s e " > M O P D U B L I N < / f i e l d >  
         < f i e l d   i d = " 3 8 8 a 1 e 1 3 - 9 9 7 8 - 4 5 4 7 - 8 c 3 9 - 2 9 b 8 9 a 1 1 d 7 2 a "   n a m e = " W o r k s p a c e I d "   t y p e = " "   o r d e r = " 9 9 9 "   e n t i t y I d = " 4 3 4 d e d f 3 - 5 5 0 a - 4 e 4 4 - a b 3 e - f b 5 b 8 8 9 4 9 e 4 8 "   l i n k e d E n t i t y I d = " 0 0 0 0 0 0 0 0 - 0 0 0 0 - 0 0 0 0 - 0 0 0 0 - 0 0 0 0 0 0 0 0 0 0 0 0 "   l i n k e d F i e l d I d = " 0 0 0 0 0 0 0 0 - 0 0 0 0 - 0 0 0 0 - 0 0 0 0 - 0 0 0 0 0 0 0 0 0 0 0 0 "   l i n k e d F i e l d I n d e x = " 0 "   i n d e x = " 0 "   f i e l d T y p e = " q u e s t i o n "   f o r m a t E v a l u a t o r T y p e = " f o r m a t S t r i n g "   h i d d e n = " f a l s e " / >  
         < f i e l d   i d = " d 8 d 8 a 1 b 7 - 2 9 f 2 - 4 1 8 4 - b 4 b b - 9 4 e 8 6 8 1 1 b 1 d c "   n a m e = " D o c F o l d e r I d "   t y p e = " "   o r d e r = " 9 9 9 "   e n t i t y I d = " 4 3 4 d e d f 3 - 5 5 0 a - 4 e 4 4 - a b 3 e - f b 5 b 8 8 9 4 9 e 4 8 "   l i n k e d E n t i t y I d = " 0 0 0 0 0 0 0 0 - 0 0 0 0 - 0 0 0 0 - 0 0 0 0 - 0 0 0 0 0 0 0 0 0 0 0 0 "   l i n k e d F i e l d I d = " 0 0 0 0 0 0 0 0 - 0 0 0 0 - 0 0 0 0 - 0 0 0 0 - 0 0 0 0 0 0 0 0 0 0 0 0 "   l i n k e d F i e l d I n d e x = " 0 "   i n d e x = " 0 "   f i e l d T y p e = " q u e s t i o n "   f o r m a t E v a l u a t o r T y p e = " f o r m a t S t r i n g "   h i d d e n = " f a l s e " / >  
         < f i e l d   i d = " a 1 f 2 3 1 e a - a 0 0 f - 4 6 0 6 - 9 f a b - d 2 a c d 8 5 9 d 3 a d "   n a m e = " D o c N u m b e r "   t y p e = " "   o r d e r = " 9 9 9 "   e n t i t y I d = " 4 3 4 d e d f 3 - 5 5 0 a - 4 e 4 4 - a b 3 e - f b 5 b 8 8 9 4 9 e 4 8 "   l i n k e d E n t i t y I d = " 0 0 0 0 0 0 0 0 - 0 0 0 0 - 0 0 0 0 - 0 0 0 0 - 0 0 0 0 0 0 0 0 0 0 0 0 "   l i n k e d F i e l d I d = " 0 0 0 0 0 0 0 0 - 0 0 0 0 - 0 0 0 0 - 0 0 0 0 - 0 0 0 0 0 0 0 0 0 0 0 0 "   l i n k e d F i e l d I n d e x = " 0 "   i n d e x = " 0 "   f i e l d T y p e = " q u e s t i o n "   f o r m a t E v a l u a t o r T y p e = " f o r m a t S t r i n g "   h i d d e n = " f a l s e " > 6 2 8 9 0 7 3 5 < / f i e l d >  
         < f i e l d   i d = " c 9 0 9 4 b 9 c - 5 2 f d - 4 4 0 3 - b b 8 3 - 9 b b 3 a b 5 3 6 8 a d "   n a m e = " D o c V e r s i o n "   t y p e = " "   o r d e r = " 9 9 9 "   e n t i t y I d = " 4 3 4 d e d f 3 - 5 5 0 a - 4 e 4 4 - a b 3 e - f b 5 b 8 8 9 4 9 e 4 8 "   l i n k e d E n t i t y I d = " 0 0 0 0 0 0 0 0 - 0 0 0 0 - 0 0 0 0 - 0 0 0 0 - 0 0 0 0 0 0 0 0 0 0 0 0 "   l i n k e d F i e l d I d = " 0 0 0 0 0 0 0 0 - 0 0 0 0 - 0 0 0 0 - 0 0 0 0 - 0 0 0 0 0 0 0 0 0 0 0 0 "   l i n k e d F i e l d I n d e x = " 0 "   i n d e x = " 0 "   f i e l d T y p e = " q u e s t i o n "   f o r m a t E v a l u a t o r T y p e = " f o r m a t S t r i n g "   h i d d e n = " f a l s e " > 8 < / f i e l d >  
         < f i e l d   i d = " 7 2 9 0 4 a 4 7 - 5 7 8 0 - 4 5 9 c - b e 7 a - 4 4 8 f 9 a d 8 d 6 b 4 "   n a m e = " D o c I d F o r m a t "   t y p e = " "   o r d e r = " 9 9 9 "   e n t i t y I d = " 4 3 4 d e d f 3 - 5 5 0 a - 4 e 4 4 - a b 3 e - f b 5 b 8 8 9 4 9 e 4 8 "   l i n k e d E n t i t y I d = " 4 3 4 d e d f 3 - 5 5 0 a - 4 e 4 4 - a b 3 e - f b 5 b 8 8 9 4 9 e 4 8 " 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4 3 4 d e d f 3 - 5 5 0 a - 4 e 4 4 - a b 3 e - f b 5 b 8 8 9 4 9 e 4 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4 3 4 d e d f 3 - 5 5 0 a - 4 e 4 4 - a b 3 e - f b 5 b 8 8 9 4 9 e 4 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4 3 4 d e d f 3 - 5 5 0 a - 4 e 4 4 - a b 3 e - f b 5 b 8 8 9 4 9 e 4 8 "   l i n k e d E n t i t y I d = " 0 0 0 0 0 0 0 0 - 0 0 0 0 - 0 0 0 0 - 0 0 0 0 - 0 0 0 0 0 0 0 0 0 0 0 0 "   l i n k e d F i e l d I d = " 0 0 0 0 0 0 0 0 - 0 0 0 0 - 0 0 0 0 - 0 0 0 0 - 0 0 0 0 0 0 0 0 0 0 0 0 "   l i n k e d F i e l d I n d e x = " 0 "   i n d e x = " 0 "   f i e l d T y p e = " q u e s t i o n "   f o r m a t E v a l u a t o r T y p e = " f o r m a t S t r i n g "   h i d d e n = " f a l s e " / >  
         < f i e l d   i d = " a 0 6 3 5 d f 7 - 3 c 7 1 - 4 e b c - 9 b 8 6 - 0 d d d f e a 3 d 5 3 6 "   n a m e = " R e f r e s h O n S a v e A s "   t y p e = " "   o r d e r = " 9 9 9 "   e n t i t y I d = " 4 3 4 d e d f 3 - 5 5 0 a - 4 e 4 4 - a b 3 e - f b 5 b 8 8 9 4 9 e 4 8 "   l i n k e d E n t i t y I d = " 0 0 0 0 0 0 0 0 - 0 0 0 0 - 0 0 0 0 - 0 0 0 0 - 0 0 0 0 0 0 0 0 0 0 0 0 "   l i n k e d F i e l d I d = " 0 0 0 0 0 0 0 0 - 0 0 0 0 - 0 0 0 0 - 0 0 0 0 - 0 0 0 0 0 0 0 0 0 0 0 0 "   l i n k e d F i e l d I n d e x = " 0 "   i n d e x = " 0 "   f i e l d T y p e = " q u e s t i o n "   f o r m a t E v a l u a t o r T y p e = " f o r m a t S t r i n g "   h i d d e n = " f a l s e " / >  
         < f i e l d   i d = " 8 e 8 b 5 8 3 6 - 3 9 1 1 - 4 b a 7 - a 8 c b - 6 5 a 2 4 1 a 1 c 8 7 e "   n a m e = " P r o f i l e F i e l d 1 "   t y p e = " "   o r d e r = " 9 9 9 "   e n t i t y I d = " 4 3 4 d e d f 3 - 5 5 0 a - 4 e 4 4 - a b 3 e - f b 5 b 8 8 9 4 9 e 4 8 "   l i n k e d E n t i t y I d = " 0 0 0 0 0 0 0 0 - 0 0 0 0 - 0 0 0 0 - 0 0 0 0 - 0 0 0 0 0 0 0 0 0 0 0 0 "   l i n k e d F i e l d I d = " 0 0 0 0 0 0 0 0 - 0 0 0 0 - 0 0 0 0 - 0 0 0 0 - 0 0 0 0 0 0 0 0 0 0 0 0 "   l i n k e d F i e l d I n d e x = " 0 "   i n d e x = " 0 "   f i e l d T y p e = " q u e s t i o n "   f o r m a t E v a l u a t o r T y p e = " f o r m a t S t r i n g "   h i d d e n = " f a l s e " / >  
         < f i e l d   i d = " 5 6 3 d b a 8 1 - 2 9 2 6 - 4 7 c 2 - a 4 3 0 - b 4 f 6 2 a 1 e 2 8 1 7 "   n a m e = " P r o f i l e F i e l d 1 D e s c r i p t i o n "   t y p e = " "   o r d e r = " 9 9 9 "   e n t i t y I d = " 4 3 4 d e d f 3 - 5 5 0 a - 4 e 4 4 - a b 3 e - f b 5 b 8 8 9 4 9 e 4 8 "   l i n k e d E n t i t y I d = " 0 0 0 0 0 0 0 0 - 0 0 0 0 - 0 0 0 0 - 0 0 0 0 - 0 0 0 0 0 0 0 0 0 0 0 0 "   l i n k e d F i e l d I d = " 0 0 0 0 0 0 0 0 - 0 0 0 0 - 0 0 0 0 - 0 0 0 0 - 0 0 0 0 0 0 0 0 0 0 0 0 "   l i n k e d F i e l d I n d e x = " 0 "   i n d e x = " 0 "   f i e l d T y p e = " q u e s t i o n "   f o r m a t E v a l u a t o r T y p e = " f o r m a t S t r i n g "   h i d d e n = " f a l s e " / >  
         < f i e l d   i d = " c c b 4 a b 0 1 - c c f 4 - 4 5 1 3 - 8 b b c - 6 e f 2 1 4 5 b 1 6 a 6 "   n a m e = " P r o f i l e F i e l d 2 "   t y p e = " "   o r d e r = " 9 9 9 "   e n t i t y I d = " 4 3 4 d e d f 3 - 5 5 0 a - 4 e 4 4 - a b 3 e - f b 5 b 8 8 9 4 9 e 4 8 "   l i n k e d E n t i t y I d = " 0 0 0 0 0 0 0 0 - 0 0 0 0 - 0 0 0 0 - 0 0 0 0 - 0 0 0 0 0 0 0 0 0 0 0 0 "   l i n k e d F i e l d I d = " 0 0 0 0 0 0 0 0 - 0 0 0 0 - 0 0 0 0 - 0 0 0 0 - 0 0 0 0 0 0 0 0 0 0 0 0 "   l i n k e d F i e l d I n d e x = " 0 "   i n d e x = " 0 "   f i e l d T y p e = " q u e s t i o n "   f o r m a t E v a l u a t o r T y p e = " f o r m a t S t r i n g "   h i d d e n = " f a l s e " / >  
         < f i e l d   i d = " c 0 4 7 b 3 6 9 - 4 d f e - 4 4 6 0 - 8 9 6 1 - 5 e d b 5 3 4 4 7 c f f "   n a m e = " P r o f i l e F i e l d 2 D e s c r i p t i o n "   t y p e = " "   o r d e r = " 9 9 9 "   e n t i t y I d = " 4 3 4 d e d f 3 - 5 5 0 a - 4 e 4 4 - a b 3 e - f b 5 b 8 8 9 4 9 e 4 8 " 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1 6 " ? > < p r o p e r t i e s   x m l n s = " h t t p : / / w w w . i m a n a g e . c o m / w o r k / x m l s c h e m a " >  
     < d o c u m e n t i d > M O P D U B L I N ! 6 2 8 9 0 7 3 5 . 8 < / d o c u m e n t i d >  
     < s e n d e r i d > R O C K A < / s e n d e r i d >  
     < s e n d e r e m a i l > A O I F E . R O C K @ M A T H E S O N . C O M < / s e n d e r e m a i l >  
     < l a s t m o d i f i e d > 2 0 2 5 - 0 1 - 1 4 T 1 3 : 4 6 : 0 0 . 0 0 0 0 0 0 0 + 0 0 : 0 0 < / l a s t m o d i f i e d >  
     < d a t a b a s e > M O P D U B L I N < / d a t a b a s e >  
 < / p r o p e r t i e s > 
</file>

<file path=customXml/itemProps1.xml><?xml version="1.0" encoding="utf-8"?>
<ds:datastoreItem xmlns:ds="http://schemas.openxmlformats.org/officeDocument/2006/customXml" ds:itemID="{F7F9F7D4-768B-4C5C-AC02-9805917947B1}">
  <ds:schemaRefs>
    <ds:schemaRef ds:uri="http://schemas.openxmlformats.org/officeDocument/2006/bibliography"/>
  </ds:schemaRefs>
</ds:datastoreItem>
</file>

<file path=customXml/itemProps2.xml><?xml version="1.0" encoding="utf-8"?>
<ds:datastoreItem xmlns:ds="http://schemas.openxmlformats.org/officeDocument/2006/customXml" ds:itemID="{D263F7A2-097A-4AEC-B1A9-FFE002EC6389}">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37E009A3-77FE-43DC-BBF3-F90E31313CFD}">
  <ds:schemaRefs>
    <ds:schemaRef ds:uri="http://www.imanage.com/work/xmlschema"/>
  </ds:schemaRefs>
</ds:datastoreItem>
</file>

<file path=docMetadata/LabelInfo.xml><?xml version="1.0" encoding="utf-8"?>
<clbl:labelList xmlns:clbl="http://schemas.microsoft.com/office/2020/mipLabelMetadata">
  <clbl:label id="{ce0c078c-cf1c-40d8-a3c8-4eb9b3c00cde}" enabled="1" method="Standard" siteId="{c355ea14-aaac-421a-b090-2547f526480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47</Pages>
  <Words>16088</Words>
  <Characters>88511</Characters>
  <Application>Microsoft Office Word</Application>
  <DocSecurity>0</DocSecurity>
  <Lines>737</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104391</CharactersWithSpaces>
  <SharedDoc>false</SharedDoc>
  <HLinks>
    <vt:vector size="54" baseType="variant">
      <vt:variant>
        <vt:i4>1572917</vt:i4>
      </vt:variant>
      <vt:variant>
        <vt:i4>50</vt:i4>
      </vt:variant>
      <vt:variant>
        <vt:i4>0</vt:i4>
      </vt:variant>
      <vt:variant>
        <vt:i4>5</vt:i4>
      </vt:variant>
      <vt:variant>
        <vt:lpwstr/>
      </vt:variant>
      <vt:variant>
        <vt:lpwstr>_Toc416354292</vt:lpwstr>
      </vt:variant>
      <vt:variant>
        <vt:i4>1572917</vt:i4>
      </vt:variant>
      <vt:variant>
        <vt:i4>44</vt:i4>
      </vt:variant>
      <vt:variant>
        <vt:i4>0</vt:i4>
      </vt:variant>
      <vt:variant>
        <vt:i4>5</vt:i4>
      </vt:variant>
      <vt:variant>
        <vt:lpwstr/>
      </vt:variant>
      <vt:variant>
        <vt:lpwstr>_Toc416354291</vt:lpwstr>
      </vt:variant>
      <vt:variant>
        <vt:i4>1572917</vt:i4>
      </vt:variant>
      <vt:variant>
        <vt:i4>38</vt:i4>
      </vt:variant>
      <vt:variant>
        <vt:i4>0</vt:i4>
      </vt:variant>
      <vt:variant>
        <vt:i4>5</vt:i4>
      </vt:variant>
      <vt:variant>
        <vt:lpwstr/>
      </vt:variant>
      <vt:variant>
        <vt:lpwstr>_Toc416354290</vt:lpwstr>
      </vt:variant>
      <vt:variant>
        <vt:i4>1638453</vt:i4>
      </vt:variant>
      <vt:variant>
        <vt:i4>32</vt:i4>
      </vt:variant>
      <vt:variant>
        <vt:i4>0</vt:i4>
      </vt:variant>
      <vt:variant>
        <vt:i4>5</vt:i4>
      </vt:variant>
      <vt:variant>
        <vt:lpwstr/>
      </vt:variant>
      <vt:variant>
        <vt:lpwstr>_Toc416354289</vt:lpwstr>
      </vt:variant>
      <vt:variant>
        <vt:i4>1638453</vt:i4>
      </vt:variant>
      <vt:variant>
        <vt:i4>26</vt:i4>
      </vt:variant>
      <vt:variant>
        <vt:i4>0</vt:i4>
      </vt:variant>
      <vt:variant>
        <vt:i4>5</vt:i4>
      </vt:variant>
      <vt:variant>
        <vt:lpwstr/>
      </vt:variant>
      <vt:variant>
        <vt:lpwstr>_Toc416354288</vt:lpwstr>
      </vt:variant>
      <vt:variant>
        <vt:i4>1638453</vt:i4>
      </vt:variant>
      <vt:variant>
        <vt:i4>20</vt:i4>
      </vt:variant>
      <vt:variant>
        <vt:i4>0</vt:i4>
      </vt:variant>
      <vt:variant>
        <vt:i4>5</vt:i4>
      </vt:variant>
      <vt:variant>
        <vt:lpwstr/>
      </vt:variant>
      <vt:variant>
        <vt:lpwstr>_Toc416354287</vt:lpwstr>
      </vt:variant>
      <vt:variant>
        <vt:i4>1638453</vt:i4>
      </vt:variant>
      <vt:variant>
        <vt:i4>14</vt:i4>
      </vt:variant>
      <vt:variant>
        <vt:i4>0</vt:i4>
      </vt:variant>
      <vt:variant>
        <vt:i4>5</vt:i4>
      </vt:variant>
      <vt:variant>
        <vt:lpwstr/>
      </vt:variant>
      <vt:variant>
        <vt:lpwstr>_Toc416354286</vt:lpwstr>
      </vt:variant>
      <vt:variant>
        <vt:i4>1638453</vt:i4>
      </vt:variant>
      <vt:variant>
        <vt:i4>8</vt:i4>
      </vt:variant>
      <vt:variant>
        <vt:i4>0</vt:i4>
      </vt:variant>
      <vt:variant>
        <vt:i4>5</vt:i4>
      </vt:variant>
      <vt:variant>
        <vt:lpwstr/>
      </vt:variant>
      <vt:variant>
        <vt:lpwstr>_Toc416354285</vt:lpwstr>
      </vt:variant>
      <vt:variant>
        <vt:i4>1638453</vt:i4>
      </vt:variant>
      <vt:variant>
        <vt:i4>2</vt:i4>
      </vt:variant>
      <vt:variant>
        <vt:i4>0</vt:i4>
      </vt:variant>
      <vt:variant>
        <vt:i4>5</vt:i4>
      </vt:variant>
      <vt:variant>
        <vt:lpwstr/>
      </vt:variant>
      <vt:variant>
        <vt:lpwstr>_Toc416354284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dc:creator>
  <cp:lastModifiedBy>Amrusta Blignaut</cp:lastModifiedBy>
  <cp:revision>5</cp:revision>
  <cp:lastPrinted>2024-10-08T12:26:00Z</cp:lastPrinted>
  <dcterms:created xsi:type="dcterms:W3CDTF">2025-01-14T13:43:00Z</dcterms:created>
  <dcterms:modified xsi:type="dcterms:W3CDTF">2025-02-18T17:42:00Z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53218791.40</vt:lpwstr>
  </property>
  <property fmtid="{D5CDD505-2E9C-101B-9397-08002B2CF9AE}" pid="3" name="MSIP_Label_ce0c078c-cf1c-40d8-a3c8-4eb9b3c00cde_Enabled">
    <vt:lpwstr>true</vt:lpwstr>
  </property>
  <property fmtid="{D5CDD505-2E9C-101B-9397-08002B2CF9AE}" pid="4" name="MSIP_Label_ce0c078c-cf1c-40d8-a3c8-4eb9b3c00cde_SetDate">
    <vt:lpwstr>2024-05-28T14:37:34Z</vt:lpwstr>
  </property>
  <property fmtid="{D5CDD505-2E9C-101B-9397-08002B2CF9AE}" pid="5" name="MSIP_Label_ce0c078c-cf1c-40d8-a3c8-4eb9b3c00cde_Method">
    <vt:lpwstr>Standard</vt:lpwstr>
  </property>
  <property fmtid="{D5CDD505-2E9C-101B-9397-08002B2CF9AE}" pid="6" name="MSIP_Label_ce0c078c-cf1c-40d8-a3c8-4eb9b3c00cde_Name">
    <vt:lpwstr>Confidential</vt:lpwstr>
  </property>
  <property fmtid="{D5CDD505-2E9C-101B-9397-08002B2CF9AE}" pid="7" name="MSIP_Label_ce0c078c-cf1c-40d8-a3c8-4eb9b3c00cde_SiteId">
    <vt:lpwstr>c355ea14-aaac-421a-b090-2547f5264801</vt:lpwstr>
  </property>
  <property fmtid="{D5CDD505-2E9C-101B-9397-08002B2CF9AE}" pid="8" name="MSIP_Label_ce0c078c-cf1c-40d8-a3c8-4eb9b3c00cde_ActionId">
    <vt:lpwstr>d73066f5-fc36-408a-b475-9566d471f680</vt:lpwstr>
  </property>
  <property fmtid="{D5CDD505-2E9C-101B-9397-08002B2CF9AE}" pid="9" name="MSIP_Label_ce0c078c-cf1c-40d8-a3c8-4eb9b3c00cde_ContentBits">
    <vt:lpwstr>0</vt:lpwstr>
  </property>
  <property fmtid="{D5CDD505-2E9C-101B-9397-08002B2CF9AE}" pid="10" name="MSIP_Label_3c335eac-854d-41cf-9c66-aaeb9131aba4_Enabled">
    <vt:lpwstr>true</vt:lpwstr>
  </property>
  <property fmtid="{D5CDD505-2E9C-101B-9397-08002B2CF9AE}" pid="11" name="MSIP_Label_3c335eac-854d-41cf-9c66-aaeb9131aba4_SetDate">
    <vt:lpwstr>2024-10-07T11:15:35Z</vt:lpwstr>
  </property>
  <property fmtid="{D5CDD505-2E9C-101B-9397-08002B2CF9AE}" pid="12" name="MSIP_Label_3c335eac-854d-41cf-9c66-aaeb9131aba4_Method">
    <vt:lpwstr>Standard</vt:lpwstr>
  </property>
  <property fmtid="{D5CDD505-2E9C-101B-9397-08002B2CF9AE}" pid="13" name="MSIP_Label_3c335eac-854d-41cf-9c66-aaeb9131aba4_Name">
    <vt:lpwstr>General</vt:lpwstr>
  </property>
  <property fmtid="{D5CDD505-2E9C-101B-9397-08002B2CF9AE}" pid="14" name="MSIP_Label_3c335eac-854d-41cf-9c66-aaeb9131aba4_SiteId">
    <vt:lpwstr>69f4ec7d-1a1a-468c-949e-09d21933e1f9</vt:lpwstr>
  </property>
  <property fmtid="{D5CDD505-2E9C-101B-9397-08002B2CF9AE}" pid="15" name="MSIP_Label_3c335eac-854d-41cf-9c66-aaeb9131aba4_ActionId">
    <vt:lpwstr>8019934f-301e-44d9-b34d-d2b544dc0e1c</vt:lpwstr>
  </property>
  <property fmtid="{D5CDD505-2E9C-101B-9397-08002B2CF9AE}" pid="16" name="MSIP_Label_3c335eac-854d-41cf-9c66-aaeb9131aba4_ContentBits">
    <vt:lpwstr>0</vt:lpwstr>
  </property>
</Properties>
</file>